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1EEE5" w14:textId="7C17DA98" w:rsidR="00F1526F" w:rsidRPr="00604ED6" w:rsidRDefault="00F1526F" w:rsidP="00F1526F">
      <w:pPr>
        <w:pStyle w:val="Header"/>
        <w:rPr>
          <w:noProof w:val="0"/>
          <w:sz w:val="24"/>
        </w:rPr>
      </w:pPr>
      <w:r w:rsidRPr="00604ED6">
        <w:rPr>
          <w:noProof w:val="0"/>
          <w:sz w:val="24"/>
        </w:rPr>
        <w:t>3GPP TSG-RAN WG2 Meeting #1</w:t>
      </w:r>
      <w:r>
        <w:rPr>
          <w:noProof w:val="0"/>
          <w:sz w:val="24"/>
        </w:rPr>
        <w:t>33</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r>
      <w:r>
        <w:rPr>
          <w:bCs/>
          <w:noProof w:val="0"/>
          <w:sz w:val="24"/>
        </w:rPr>
        <w:t xml:space="preserve">                </w:t>
      </w:r>
      <w:r w:rsidRPr="00042AEB">
        <w:rPr>
          <w:bCs/>
          <w:noProof w:val="0"/>
          <w:sz w:val="24"/>
        </w:rPr>
        <w:t>R2-2</w:t>
      </w:r>
      <w:r w:rsidR="004B5EF8">
        <w:rPr>
          <w:bCs/>
          <w:noProof w:val="0"/>
          <w:sz w:val="24"/>
        </w:rPr>
        <w:t>600834</w:t>
      </w:r>
    </w:p>
    <w:p w14:paraId="3EB67F03" w14:textId="77777777" w:rsidR="00F1526F" w:rsidRPr="00DE683C" w:rsidRDefault="00F1526F" w:rsidP="00F1526F">
      <w:pPr>
        <w:pStyle w:val="Header"/>
        <w:rPr>
          <w:noProof w:val="0"/>
          <w:sz w:val="24"/>
        </w:rPr>
      </w:pPr>
      <w:r w:rsidRPr="007723EB">
        <w:rPr>
          <w:noProof w:val="0"/>
          <w:sz w:val="24"/>
          <w:lang w:val="en-US"/>
        </w:rPr>
        <w:t>Gothenburg, Sweden, Feb. 09</w:t>
      </w:r>
      <w:r w:rsidRPr="007723EB">
        <w:rPr>
          <w:noProof w:val="0"/>
          <w:sz w:val="24"/>
          <w:vertAlign w:val="superscript"/>
          <w:lang w:val="en-US"/>
        </w:rPr>
        <w:t xml:space="preserve">th </w:t>
      </w:r>
      <w:r w:rsidRPr="007723EB">
        <w:rPr>
          <w:noProof w:val="0"/>
          <w:sz w:val="24"/>
          <w:lang w:val="en-US"/>
        </w:rPr>
        <w:t>– 13</w:t>
      </w:r>
      <w:r w:rsidRPr="007723EB">
        <w:rPr>
          <w:noProof w:val="0"/>
          <w:sz w:val="24"/>
          <w:vertAlign w:val="superscript"/>
          <w:lang w:val="en-US"/>
        </w:rPr>
        <w:t>th</w:t>
      </w:r>
    </w:p>
    <w:p w14:paraId="2CA2FF43" w14:textId="77777777" w:rsidR="00EF3913" w:rsidRDefault="00EF3913" w:rsidP="00DE683C">
      <w:pPr>
        <w:tabs>
          <w:tab w:val="left" w:pos="2127"/>
        </w:tabs>
        <w:spacing w:before="120" w:after="0"/>
        <w:ind w:left="2131" w:hanging="2131"/>
        <w:jc w:val="both"/>
        <w:rPr>
          <w:rFonts w:ascii="Arial" w:hAnsi="Arial"/>
          <w:b/>
          <w:sz w:val="24"/>
        </w:rPr>
      </w:pPr>
    </w:p>
    <w:p w14:paraId="4B46E4D8" w14:textId="050BB171"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425283">
        <w:rPr>
          <w:rFonts w:ascii="Arial" w:hAnsi="Arial"/>
          <w:b/>
          <w:sz w:val="24"/>
        </w:rPr>
        <w:t>AUMOVIO</w:t>
      </w:r>
    </w:p>
    <w:p w14:paraId="79C60D94" w14:textId="2BB4BF90"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EA070F">
        <w:rPr>
          <w:rFonts w:ascii="Arial" w:hAnsi="Arial"/>
          <w:b/>
          <w:sz w:val="24"/>
        </w:rPr>
        <w:tab/>
      </w:r>
      <w:r w:rsidR="00AD2D5B" w:rsidRPr="00AD2D5B">
        <w:rPr>
          <w:rFonts w:ascii="Arial" w:hAnsi="Arial"/>
          <w:b/>
          <w:sz w:val="24"/>
        </w:rPr>
        <w:t xml:space="preserve">Discussion on </w:t>
      </w:r>
      <w:r w:rsidR="00C50BF8" w:rsidRPr="00C50BF8">
        <w:rPr>
          <w:rFonts w:ascii="Arial" w:hAnsi="Arial"/>
          <w:b/>
          <w:sz w:val="24"/>
        </w:rPr>
        <w:t>UE context handling for inactive mode/sub-state</w:t>
      </w:r>
    </w:p>
    <w:p w14:paraId="3E03E22C" w14:textId="25EB7B02"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E25941">
        <w:rPr>
          <w:rFonts w:ascii="Arial" w:hAnsi="Arial"/>
          <w:b/>
          <w:sz w:val="24"/>
        </w:rPr>
        <w:tab/>
      </w:r>
      <w:r w:rsidR="00A13FE4">
        <w:rPr>
          <w:rFonts w:ascii="Arial" w:hAnsi="Arial"/>
          <w:b/>
          <w:sz w:val="24"/>
        </w:rPr>
        <w:t>10.3.2.1</w:t>
      </w:r>
    </w:p>
    <w:p w14:paraId="3608921E" w14:textId="285B5379"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00E25941">
        <w:rPr>
          <w:rFonts w:ascii="Arial" w:hAnsi="Arial"/>
          <w:b/>
          <w:sz w:val="24"/>
        </w:rPr>
        <w:tab/>
      </w:r>
      <w:r w:rsidRPr="00DA5216">
        <w:rPr>
          <w:rFonts w:ascii="Arial" w:hAnsi="Arial"/>
          <w:b/>
          <w:sz w:val="24"/>
        </w:rPr>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005638F5" w14:textId="14845FB4" w:rsidR="006377CC" w:rsidRDefault="006377CC" w:rsidP="000860FF">
      <w:r w:rsidRPr="006377CC">
        <w:t>Based on the agreements reached in RAN2#132, the following aspects are considered [1]:</w:t>
      </w:r>
    </w:p>
    <w:p w14:paraId="1FAA85EA" w14:textId="77777777" w:rsidR="008977A4" w:rsidRPr="00DB7A20" w:rsidRDefault="008977A4" w:rsidP="008977A4">
      <w:pPr>
        <w:pStyle w:val="Doc-text2"/>
        <w:pBdr>
          <w:top w:val="single" w:sz="4" w:space="1" w:color="auto"/>
          <w:left w:val="single" w:sz="4" w:space="4" w:color="auto"/>
          <w:bottom w:val="single" w:sz="4" w:space="1" w:color="auto"/>
          <w:right w:val="single" w:sz="4" w:space="4" w:color="auto"/>
        </w:pBdr>
        <w:rPr>
          <w:b/>
          <w:bCs/>
        </w:rPr>
      </w:pPr>
      <w:r w:rsidRPr="00DB7A20">
        <w:rPr>
          <w:b/>
          <w:bCs/>
        </w:rPr>
        <w:t>Agreements</w:t>
      </w:r>
    </w:p>
    <w:p w14:paraId="6BE03733" w14:textId="77777777" w:rsidR="008977A4" w:rsidRDefault="008977A4" w:rsidP="008977A4">
      <w:pPr>
        <w:pStyle w:val="Doc-text2"/>
        <w:pBdr>
          <w:top w:val="single" w:sz="4" w:space="1" w:color="auto"/>
          <w:left w:val="single" w:sz="4" w:space="4" w:color="auto"/>
          <w:bottom w:val="single" w:sz="4" w:space="1" w:color="auto"/>
          <w:right w:val="single" w:sz="4" w:space="4" w:color="auto"/>
        </w:pBdr>
      </w:pPr>
      <w:r>
        <w:t>1</w:t>
      </w:r>
      <w:r w:rsidRPr="00197293">
        <w:tab/>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w:t>
      </w:r>
      <w:proofErr w:type="gramStart"/>
      <w:r>
        <w:t>network controlled</w:t>
      </w:r>
      <w:proofErr w:type="gramEnd"/>
      <w:r>
        <w:t xml:space="preserve"> transitions into state/sub-state.  </w:t>
      </w:r>
    </w:p>
    <w:p w14:paraId="13B28D86" w14:textId="77777777" w:rsidR="008977A4" w:rsidRDefault="008977A4" w:rsidP="008977A4">
      <w:pPr>
        <w:pStyle w:val="Doc-text2"/>
        <w:pBdr>
          <w:top w:val="single" w:sz="4" w:space="1" w:color="auto"/>
          <w:left w:val="single" w:sz="4" w:space="4" w:color="auto"/>
          <w:bottom w:val="single" w:sz="4" w:space="1" w:color="auto"/>
          <w:right w:val="single" w:sz="4" w:space="4" w:color="auto"/>
        </w:pBdr>
      </w:pPr>
      <w:r>
        <w:t>2</w:t>
      </w:r>
      <w:r>
        <w:tab/>
        <w:t xml:space="preserve">For fast transition to data exchange, we can consider small data transmission in the new state/sub-state and/or transition to RRC connected.   </w:t>
      </w:r>
    </w:p>
    <w:p w14:paraId="43EC1A08" w14:textId="77777777" w:rsidR="008977A4" w:rsidRDefault="008977A4" w:rsidP="008977A4">
      <w:pPr>
        <w:pStyle w:val="Doc-text2"/>
        <w:pBdr>
          <w:top w:val="single" w:sz="4" w:space="1" w:color="auto"/>
          <w:left w:val="single" w:sz="4" w:space="4" w:color="auto"/>
          <w:bottom w:val="single" w:sz="4" w:space="1" w:color="auto"/>
          <w:right w:val="single" w:sz="4" w:space="4" w:color="auto"/>
        </w:pBdr>
      </w:pPr>
      <w:r>
        <w:t>3</w:t>
      </w:r>
      <w:r>
        <w:tab/>
        <w:t xml:space="preserve">Revisit the modelling of state or sub-state after some further progress is made on functionalities and understanding how things would work in these states.  </w:t>
      </w:r>
    </w:p>
    <w:p w14:paraId="53AF8244" w14:textId="77777777" w:rsidR="008977A4" w:rsidRDefault="008977A4" w:rsidP="008977A4">
      <w:pPr>
        <w:pStyle w:val="Doc-text2"/>
        <w:pBdr>
          <w:top w:val="single" w:sz="4" w:space="1" w:color="auto"/>
          <w:left w:val="single" w:sz="4" w:space="4" w:color="auto"/>
          <w:bottom w:val="single" w:sz="4" w:space="1" w:color="auto"/>
          <w:right w:val="single" w:sz="4" w:space="4" w:color="auto"/>
        </w:pBdr>
      </w:pPr>
      <w:r>
        <w:t>4</w:t>
      </w:r>
      <w:r>
        <w:tab/>
      </w:r>
      <w:r w:rsidRPr="00FD1A55">
        <w:t>Study single paging mechanism and understand the pain points and impacts of each paging mechanism.</w:t>
      </w:r>
    </w:p>
    <w:p w14:paraId="5FBDF17E" w14:textId="77777777" w:rsidR="008977A4" w:rsidRDefault="008977A4" w:rsidP="000860FF"/>
    <w:p w14:paraId="32B5D108" w14:textId="7553872F" w:rsidR="00D20233" w:rsidRPr="00D20233" w:rsidRDefault="00D20233" w:rsidP="00733AC4">
      <w:pPr>
        <w:rPr>
          <w:lang w:val="en-US"/>
        </w:rPr>
      </w:pPr>
      <w:r w:rsidRPr="00D20233">
        <w:rPr>
          <w:lang w:val="en-US"/>
        </w:rPr>
        <w:t>This contribution discusses RRC functionalities related to UE context management during mobility in an inactive mode or sub-state. Based on the above agreements, it focuses on mechanisms needed to support fast transition to data exchange in the presence of mobility.</w:t>
      </w:r>
    </w:p>
    <w:p w14:paraId="106D4261" w14:textId="203438D7" w:rsidR="0068450E" w:rsidRDefault="00DE683C" w:rsidP="00AF6C56">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5095CE2A" w14:textId="77777777" w:rsidR="0062216F" w:rsidRPr="0062216F" w:rsidRDefault="0062216F" w:rsidP="0062216F">
      <w:pPr>
        <w:rPr>
          <w:rFonts w:eastAsia="Times New Roman"/>
          <w:lang w:val="en-US"/>
        </w:rPr>
      </w:pPr>
      <w:r w:rsidRPr="0062216F">
        <w:rPr>
          <w:rFonts w:eastAsia="Times New Roman"/>
          <w:lang w:val="en-US"/>
        </w:rPr>
        <w:t>In NR, mobility handling depends on the UE’s RRC state and relies on well-established procedures:</w:t>
      </w:r>
    </w:p>
    <w:p w14:paraId="1E1310C1" w14:textId="3D33239D" w:rsidR="0062216F" w:rsidRPr="0062216F" w:rsidRDefault="000D3B44" w:rsidP="0062216F">
      <w:pPr>
        <w:numPr>
          <w:ilvl w:val="0"/>
          <w:numId w:val="34"/>
        </w:numPr>
        <w:rPr>
          <w:rFonts w:eastAsia="Times New Roman"/>
          <w:lang w:val="en-US"/>
        </w:rPr>
      </w:pPr>
      <w:r>
        <w:rPr>
          <w:rFonts w:eastAsia="Times New Roman"/>
          <w:lang w:val="en-US"/>
        </w:rPr>
        <w:t>H</w:t>
      </w:r>
      <w:r w:rsidR="0062216F" w:rsidRPr="0062216F">
        <w:rPr>
          <w:rFonts w:eastAsia="Times New Roman"/>
          <w:lang w:val="en-US"/>
        </w:rPr>
        <w:t>andover</w:t>
      </w:r>
      <w:r>
        <w:rPr>
          <w:rFonts w:eastAsia="Times New Roman"/>
          <w:lang w:val="en-US"/>
        </w:rPr>
        <w:t xml:space="preserve"> in RRC_</w:t>
      </w:r>
      <w:r w:rsidR="00E4395D">
        <w:rPr>
          <w:rFonts w:eastAsia="Times New Roman"/>
          <w:lang w:val="en-US"/>
        </w:rPr>
        <w:t>CONNECTED</w:t>
      </w:r>
      <w:r w:rsidR="0062216F" w:rsidRPr="0062216F">
        <w:rPr>
          <w:rFonts w:eastAsia="Times New Roman"/>
          <w:lang w:val="en-US"/>
        </w:rPr>
        <w:t>:</w:t>
      </w:r>
      <w:r w:rsidR="0062216F" w:rsidRPr="0062216F">
        <w:rPr>
          <w:rFonts w:eastAsia="Times New Roman"/>
          <w:lang w:val="en-US"/>
        </w:rPr>
        <w:br/>
        <w:t xml:space="preserve">The source </w:t>
      </w:r>
      <w:proofErr w:type="spellStart"/>
      <w:r w:rsidR="0062216F" w:rsidRPr="0062216F">
        <w:rPr>
          <w:rFonts w:eastAsia="Times New Roman"/>
          <w:lang w:val="en-US"/>
        </w:rPr>
        <w:t>gNB</w:t>
      </w:r>
      <w:proofErr w:type="spellEnd"/>
      <w:r w:rsidR="0062216F" w:rsidRPr="0062216F">
        <w:rPr>
          <w:rFonts w:eastAsia="Times New Roman"/>
          <w:lang w:val="en-US"/>
        </w:rPr>
        <w:t xml:space="preserve"> prepares </w:t>
      </w:r>
      <w:r w:rsidR="00F83257">
        <w:rPr>
          <w:rFonts w:eastAsia="Times New Roman"/>
          <w:lang w:val="en-US"/>
        </w:rPr>
        <w:t xml:space="preserve">handover to </w:t>
      </w:r>
      <w:r w:rsidR="0062216F" w:rsidRPr="0062216F">
        <w:rPr>
          <w:rFonts w:eastAsia="Times New Roman"/>
          <w:lang w:val="en-US"/>
        </w:rPr>
        <w:t xml:space="preserve">the target </w:t>
      </w:r>
      <w:proofErr w:type="spellStart"/>
      <w:r w:rsidR="0062216F" w:rsidRPr="0062216F">
        <w:rPr>
          <w:rFonts w:eastAsia="Times New Roman"/>
          <w:lang w:val="en-US"/>
        </w:rPr>
        <w:t>gNB</w:t>
      </w:r>
      <w:proofErr w:type="spellEnd"/>
      <w:r w:rsidR="0062216F" w:rsidRPr="0062216F">
        <w:rPr>
          <w:rFonts w:eastAsia="Times New Roman"/>
          <w:lang w:val="en-US"/>
        </w:rPr>
        <w:t xml:space="preserve"> by transferring the full UE context over the </w:t>
      </w:r>
      <w:proofErr w:type="spellStart"/>
      <w:r w:rsidR="0062216F" w:rsidRPr="0062216F">
        <w:rPr>
          <w:rFonts w:eastAsia="Times New Roman"/>
          <w:lang w:val="en-US"/>
        </w:rPr>
        <w:t>Xn</w:t>
      </w:r>
      <w:proofErr w:type="spellEnd"/>
      <w:r w:rsidR="0062216F" w:rsidRPr="0062216F">
        <w:rPr>
          <w:rFonts w:eastAsia="Times New Roman"/>
          <w:lang w:val="en-US"/>
        </w:rPr>
        <w:t xml:space="preserve"> interface prior to UE </w:t>
      </w:r>
      <w:r w:rsidR="00ED19E4">
        <w:rPr>
          <w:rFonts w:eastAsia="Times New Roman"/>
          <w:lang w:val="en-US"/>
        </w:rPr>
        <w:t xml:space="preserve">connection </w:t>
      </w:r>
      <w:r w:rsidR="00F23C22">
        <w:rPr>
          <w:rFonts w:eastAsia="Times New Roman"/>
          <w:lang w:val="en-US"/>
        </w:rPr>
        <w:t>switch</w:t>
      </w:r>
      <w:r w:rsidR="0062216F" w:rsidRPr="0062216F">
        <w:rPr>
          <w:rFonts w:eastAsia="Times New Roman"/>
          <w:lang w:val="en-US"/>
        </w:rPr>
        <w:t>. This enables seamless service continuity but requires explicit signaling.</w:t>
      </w:r>
    </w:p>
    <w:p w14:paraId="5C767A61" w14:textId="77777777" w:rsidR="0062216F" w:rsidRPr="0062216F" w:rsidRDefault="0062216F" w:rsidP="0062216F">
      <w:pPr>
        <w:numPr>
          <w:ilvl w:val="0"/>
          <w:numId w:val="34"/>
        </w:numPr>
        <w:rPr>
          <w:rFonts w:eastAsia="Times New Roman"/>
          <w:lang w:val="en-US"/>
        </w:rPr>
      </w:pPr>
      <w:r w:rsidRPr="0062216F">
        <w:rPr>
          <w:rFonts w:eastAsia="Times New Roman"/>
          <w:lang w:val="en-US"/>
        </w:rPr>
        <w:t>Resume from RRC_INACTIVE / RRC_IDLE:</w:t>
      </w:r>
      <w:r w:rsidRPr="0062216F">
        <w:rPr>
          <w:rFonts w:eastAsia="Times New Roman"/>
          <w:lang w:val="en-US"/>
        </w:rPr>
        <w:br/>
        <w:t>After cell reselection, the UE re-establishes connectivity via paging (for mobile-terminated data) or by initiating an RRC Resume procedure. This approach introduces additional signaling delay and energy consumption.</w:t>
      </w:r>
    </w:p>
    <w:p w14:paraId="4841B2E7" w14:textId="77777777" w:rsidR="0062216F" w:rsidRPr="0062216F" w:rsidRDefault="0062216F" w:rsidP="0062216F">
      <w:pPr>
        <w:rPr>
          <w:rFonts w:eastAsia="Times New Roman"/>
          <w:lang w:val="en-US"/>
        </w:rPr>
      </w:pPr>
      <w:r w:rsidRPr="0062216F">
        <w:rPr>
          <w:rFonts w:eastAsia="Times New Roman"/>
          <w:lang w:val="en-US"/>
        </w:rPr>
        <w:t>Both mechanisms assume that mobility events trigger explicit signaling, either proactively (handover) or reactively (resume), such that the network is always aware of the UE’s serving cell.</w:t>
      </w:r>
    </w:p>
    <w:p w14:paraId="7E2D575D" w14:textId="77777777" w:rsidR="004A2BE0" w:rsidRPr="004A2BE0" w:rsidRDefault="004A2BE0" w:rsidP="004A2BE0">
      <w:pPr>
        <w:rPr>
          <w:rFonts w:eastAsia="Times New Roman"/>
          <w:lang w:val="en-US"/>
        </w:rPr>
      </w:pPr>
      <w:r w:rsidRPr="004A2BE0">
        <w:rPr>
          <w:rFonts w:eastAsia="Times New Roman"/>
          <w:lang w:val="en-US"/>
        </w:rPr>
        <w:t>As agreed, two mechanisms can support fast transition to data exchange:</w:t>
      </w:r>
    </w:p>
    <w:p w14:paraId="2C7D73C3" w14:textId="700FFCEE" w:rsidR="004A2BE0" w:rsidRPr="004A2BE0" w:rsidRDefault="004A2BE0" w:rsidP="004A2BE0">
      <w:pPr>
        <w:numPr>
          <w:ilvl w:val="0"/>
          <w:numId w:val="35"/>
        </w:numPr>
        <w:rPr>
          <w:rFonts w:eastAsia="Times New Roman"/>
          <w:lang w:val="en-US"/>
        </w:rPr>
      </w:pPr>
      <w:r w:rsidRPr="004A2BE0">
        <w:rPr>
          <w:rFonts w:eastAsia="Times New Roman"/>
          <w:b/>
          <w:bCs/>
          <w:lang w:val="en-US"/>
        </w:rPr>
        <w:t>Small data transmission in the inactive mode/sub-state:</w:t>
      </w:r>
      <w:r w:rsidR="00705A93">
        <w:rPr>
          <w:rFonts w:eastAsia="Times New Roman"/>
          <w:lang w:val="en-US"/>
        </w:rPr>
        <w:t xml:space="preserve"> </w:t>
      </w:r>
      <w:r w:rsidRPr="004A2BE0">
        <w:rPr>
          <w:rFonts w:eastAsia="Times New Roman"/>
          <w:lang w:val="en-US"/>
        </w:rPr>
        <w:t>This allows the UE to transmit or receive a limited amount of data without transitioning to RRC_CONNECTED. This mechanism is particularly suitable for sporadic, small-payload traffic</w:t>
      </w:r>
      <w:r w:rsidR="009670AA">
        <w:rPr>
          <w:rFonts w:eastAsia="Times New Roman"/>
          <w:lang w:val="en-US"/>
        </w:rPr>
        <w:t>,</w:t>
      </w:r>
      <w:r w:rsidRPr="004A2BE0">
        <w:rPr>
          <w:rFonts w:eastAsia="Times New Roman"/>
          <w:lang w:val="en-US"/>
        </w:rPr>
        <w:t xml:space="preserve"> such as sensor reports, location updates, or keep-alive messages.</w:t>
      </w:r>
    </w:p>
    <w:p w14:paraId="53A703FF" w14:textId="63B2660D" w:rsidR="0062216F" w:rsidRPr="00705A93" w:rsidRDefault="004A2BE0" w:rsidP="00723787">
      <w:pPr>
        <w:numPr>
          <w:ilvl w:val="0"/>
          <w:numId w:val="35"/>
        </w:numPr>
        <w:rPr>
          <w:rFonts w:eastAsia="Times New Roman"/>
          <w:lang w:val="en-US"/>
        </w:rPr>
      </w:pPr>
      <w:r w:rsidRPr="004A2BE0">
        <w:rPr>
          <w:rFonts w:eastAsia="Times New Roman"/>
          <w:b/>
          <w:bCs/>
          <w:lang w:val="en-US"/>
        </w:rPr>
        <w:t>Fast transition to RRC_CONNECTED:</w:t>
      </w:r>
      <w:r w:rsidR="00705A93">
        <w:rPr>
          <w:rFonts w:eastAsia="Times New Roman"/>
          <w:lang w:val="en-US"/>
        </w:rPr>
        <w:t xml:space="preserve"> </w:t>
      </w:r>
      <w:r w:rsidRPr="004A2BE0">
        <w:rPr>
          <w:rFonts w:eastAsia="Times New Roman"/>
          <w:lang w:val="en-US"/>
        </w:rPr>
        <w:t>For larger data volumes or latency-sensitive services, the UE can rapidly transition to RRC_CONNECTED. This transition leverages retained UE context to reduce signaling overhead and latency compared to a full connection establishment.</w:t>
      </w:r>
    </w:p>
    <w:p w14:paraId="1ABEAAE3" w14:textId="39D39F8A" w:rsidR="00CF3CE5" w:rsidRDefault="00CF3CE5" w:rsidP="00CF3CE5">
      <w:pPr>
        <w:spacing w:after="120"/>
        <w:rPr>
          <w:rFonts w:eastAsia="Times New Roman"/>
          <w:b/>
          <w:bCs/>
          <w:lang w:val="en-US"/>
        </w:rPr>
      </w:pPr>
      <w:r w:rsidRPr="00CF3CE5">
        <w:rPr>
          <w:rFonts w:eastAsia="Times New Roman"/>
          <w:b/>
          <w:bCs/>
          <w:lang w:val="en-US"/>
        </w:rPr>
        <w:t xml:space="preserve">Observation </w:t>
      </w:r>
      <w:r>
        <w:rPr>
          <w:rFonts w:eastAsia="Times New Roman"/>
          <w:b/>
          <w:bCs/>
          <w:lang w:val="en-US"/>
        </w:rPr>
        <w:t>1</w:t>
      </w:r>
      <w:r w:rsidRPr="00CF3CE5">
        <w:rPr>
          <w:rFonts w:eastAsia="Times New Roman"/>
          <w:b/>
          <w:bCs/>
          <w:lang w:val="en-US"/>
        </w:rPr>
        <w:t>: Fast transition to data exchange can be achieved through small data transmission in the inactive mode/sub-state or through fast transition to RRC_CONNECTED state.</w:t>
      </w:r>
    </w:p>
    <w:p w14:paraId="26B2BA4D" w14:textId="77777777" w:rsidR="00440C58" w:rsidRDefault="00440C58" w:rsidP="00A151D5">
      <w:pPr>
        <w:spacing w:after="120"/>
        <w:rPr>
          <w:b/>
          <w:bCs/>
          <w:sz w:val="24"/>
          <w:szCs w:val="24"/>
        </w:rPr>
      </w:pPr>
    </w:p>
    <w:p w14:paraId="2D393CAB" w14:textId="15382A12" w:rsidR="0022076D" w:rsidRPr="00D26D03" w:rsidRDefault="0022076D" w:rsidP="00A151D5">
      <w:pPr>
        <w:spacing w:after="120"/>
        <w:rPr>
          <w:b/>
          <w:bCs/>
          <w:sz w:val="24"/>
          <w:szCs w:val="24"/>
          <w:lang w:val="en-US"/>
        </w:rPr>
      </w:pPr>
      <w:r w:rsidRPr="00643AA0">
        <w:rPr>
          <w:b/>
          <w:bCs/>
          <w:sz w:val="24"/>
          <w:szCs w:val="24"/>
        </w:rPr>
        <w:lastRenderedPageBreak/>
        <w:t>2</w:t>
      </w:r>
      <w:r>
        <w:rPr>
          <w:b/>
          <w:bCs/>
          <w:sz w:val="24"/>
          <w:szCs w:val="24"/>
        </w:rPr>
        <w:t>.1</w:t>
      </w:r>
      <w:r w:rsidRPr="00643AA0">
        <w:rPr>
          <w:b/>
          <w:bCs/>
          <w:sz w:val="24"/>
          <w:szCs w:val="24"/>
        </w:rPr>
        <w:t xml:space="preserve"> </w:t>
      </w:r>
      <w:r w:rsidR="00D26D03" w:rsidRPr="00D26D03">
        <w:rPr>
          <w:b/>
          <w:bCs/>
          <w:sz w:val="24"/>
          <w:szCs w:val="24"/>
          <w:lang w:val="en-US"/>
        </w:rPr>
        <w:t>Mobility in Inactive Mode/Sub-state</w:t>
      </w:r>
    </w:p>
    <w:p w14:paraId="5492484D" w14:textId="77777777" w:rsidR="001E0F32" w:rsidRPr="001E0F32" w:rsidRDefault="001E0F32" w:rsidP="001E0F32">
      <w:pPr>
        <w:spacing w:after="120"/>
        <w:rPr>
          <w:rFonts w:eastAsia="Times New Roman"/>
          <w:lang w:val="en-US"/>
        </w:rPr>
      </w:pPr>
      <w:r w:rsidRPr="001E0F32">
        <w:rPr>
          <w:rFonts w:eastAsia="Times New Roman"/>
          <w:lang w:val="en-US"/>
        </w:rPr>
        <w:t>During sleep intervals in the inactive mode or sub-state, the UE may move between cells without performing any signaling. This behavior is referred to as silent mobility. In this case, the UE does not report measurements, does not trigger handover procedures, and does not inform the network of its cell change.</w:t>
      </w:r>
    </w:p>
    <w:p w14:paraId="0AEC8E96" w14:textId="77777777" w:rsidR="001E0F32" w:rsidRPr="001E0F32" w:rsidRDefault="001E0F32" w:rsidP="001E0F32">
      <w:pPr>
        <w:spacing w:after="120"/>
        <w:rPr>
          <w:rFonts w:eastAsia="Times New Roman"/>
          <w:lang w:val="en-US"/>
        </w:rPr>
      </w:pPr>
      <w:r w:rsidRPr="001E0F32">
        <w:rPr>
          <w:rFonts w:eastAsia="Times New Roman"/>
          <w:lang w:val="en-US"/>
        </w:rPr>
        <w:t>Silent mobility is beneficial as it avoids unnecessary signaling and radio activity when no data exchange is required. However, it introduces a challenge when uplink or downlink activity resumes. If the UE has moved silently, the target cell may not have access to the UE’s context.</w:t>
      </w:r>
    </w:p>
    <w:p w14:paraId="3026D773" w14:textId="19F5B8ED" w:rsidR="001E0F32" w:rsidRPr="001E0F32" w:rsidRDefault="001E0F32" w:rsidP="001E0F32">
      <w:pPr>
        <w:spacing w:after="120"/>
        <w:rPr>
          <w:rFonts w:eastAsia="Times New Roman"/>
          <w:lang w:val="en-US"/>
        </w:rPr>
      </w:pPr>
      <w:r w:rsidRPr="001E0F32">
        <w:rPr>
          <w:rFonts w:eastAsia="Times New Roman"/>
          <w:lang w:val="en-US"/>
        </w:rPr>
        <w:t>Since no handover or resume signaling has taken place, the UE context remains associated with a different cell. Consequently, when data transmission is triggered, the target cell cannot immediately serve the UE. A context recovery procedure is required, resulting in additional signaling, increased latency, and higher UE power consumption. This issue affects both small data transmission and fast transition to RRC_CONNECTED</w:t>
      </w:r>
      <w:r w:rsidR="008B383F">
        <w:rPr>
          <w:rFonts w:eastAsia="Times New Roman"/>
          <w:lang w:val="en-US"/>
        </w:rPr>
        <w:t>.</w:t>
      </w:r>
    </w:p>
    <w:p w14:paraId="65729F40" w14:textId="17E013BE" w:rsidR="001E359D" w:rsidRDefault="003C770A" w:rsidP="005B3FF9">
      <w:pPr>
        <w:spacing w:after="120"/>
        <w:rPr>
          <w:rFonts w:eastAsia="Times New Roman"/>
          <w:b/>
          <w:bCs/>
          <w:lang w:val="en-US"/>
        </w:rPr>
      </w:pPr>
      <w:r w:rsidRPr="003C770A">
        <w:rPr>
          <w:rFonts w:eastAsia="Times New Roman"/>
          <w:b/>
          <w:bCs/>
          <w:lang w:val="en-US"/>
        </w:rPr>
        <w:t xml:space="preserve">Observation </w:t>
      </w:r>
      <w:r>
        <w:rPr>
          <w:rFonts w:eastAsia="Times New Roman"/>
          <w:b/>
          <w:bCs/>
          <w:lang w:val="en-US"/>
        </w:rPr>
        <w:t>2</w:t>
      </w:r>
      <w:r w:rsidRPr="003C770A">
        <w:rPr>
          <w:rFonts w:eastAsia="Times New Roman"/>
          <w:b/>
          <w:bCs/>
          <w:lang w:val="en-US"/>
        </w:rPr>
        <w:t xml:space="preserve">: </w:t>
      </w:r>
      <w:r w:rsidR="001E359D" w:rsidRPr="001E359D">
        <w:rPr>
          <w:rFonts w:eastAsia="Times New Roman"/>
          <w:b/>
          <w:bCs/>
          <w:lang w:val="en-US"/>
        </w:rPr>
        <w:t>In an inactive mode/sub-state with silent mobility, the UE may change cells without explicit signaling, leading to a mismatch between the UE’s physical</w:t>
      </w:r>
      <w:r w:rsidR="00672EF0">
        <w:rPr>
          <w:rFonts w:eastAsia="Times New Roman"/>
          <w:b/>
          <w:bCs/>
          <w:lang w:val="en-US"/>
        </w:rPr>
        <w:t xml:space="preserve"> cell</w:t>
      </w:r>
      <w:r w:rsidR="001E359D" w:rsidRPr="001E359D">
        <w:rPr>
          <w:rFonts w:eastAsia="Times New Roman"/>
          <w:b/>
          <w:bCs/>
          <w:lang w:val="en-US"/>
        </w:rPr>
        <w:t xml:space="preserve"> location and the cell holding its context. This negatively impacts both small data transmission and fast transition to RRC_CONNECTED.</w:t>
      </w:r>
    </w:p>
    <w:p w14:paraId="42A26D11" w14:textId="77777777" w:rsidR="00CD7056" w:rsidRPr="00CD7056" w:rsidRDefault="00CD7056" w:rsidP="00CD7056">
      <w:pPr>
        <w:spacing w:after="120"/>
        <w:rPr>
          <w:rFonts w:eastAsia="Times New Roman"/>
          <w:lang w:val="en-US"/>
        </w:rPr>
      </w:pPr>
      <w:r w:rsidRPr="00CD7056">
        <w:rPr>
          <w:rFonts w:eastAsia="Times New Roman"/>
          <w:lang w:val="en-US"/>
        </w:rPr>
        <w:t>One possible approach to address this issue is a lightweight context transfer mechanism that enables fast context recovery following silent mobility. Instead of transferring the full UE context to neighboring cells, a partial context could be distributed, containing only the information necessary for the target cell to:</w:t>
      </w:r>
    </w:p>
    <w:p w14:paraId="6C3F0A67" w14:textId="00CB095D" w:rsidR="00CD7056" w:rsidRPr="00CD7056" w:rsidRDefault="00CD7056" w:rsidP="00CD7056">
      <w:pPr>
        <w:numPr>
          <w:ilvl w:val="0"/>
          <w:numId w:val="36"/>
        </w:numPr>
        <w:spacing w:after="120"/>
        <w:rPr>
          <w:rFonts w:eastAsia="Times New Roman"/>
          <w:lang w:val="en-US"/>
        </w:rPr>
      </w:pPr>
      <w:r w:rsidRPr="00CD7056">
        <w:rPr>
          <w:rFonts w:eastAsia="Times New Roman"/>
          <w:lang w:val="en-US"/>
        </w:rPr>
        <w:t>Recognize and authenticate the UE</w:t>
      </w:r>
      <w:r w:rsidR="007D5582">
        <w:rPr>
          <w:rFonts w:eastAsia="Times New Roman"/>
          <w:lang w:val="en-US"/>
        </w:rPr>
        <w:t>,</w:t>
      </w:r>
    </w:p>
    <w:p w14:paraId="497EFA78" w14:textId="5CC38388" w:rsidR="00CD7056" w:rsidRPr="00CD7056" w:rsidRDefault="00CD7056" w:rsidP="00CD7056">
      <w:pPr>
        <w:numPr>
          <w:ilvl w:val="0"/>
          <w:numId w:val="36"/>
        </w:numPr>
        <w:spacing w:after="120"/>
        <w:rPr>
          <w:rFonts w:eastAsia="Times New Roman"/>
          <w:lang w:val="en-US"/>
        </w:rPr>
      </w:pPr>
      <w:r w:rsidRPr="00CD7056">
        <w:rPr>
          <w:rFonts w:eastAsia="Times New Roman"/>
          <w:lang w:val="en-US"/>
        </w:rPr>
        <w:t>Quickly retrieve or reconstruct the full UE context</w:t>
      </w:r>
      <w:r w:rsidR="007D5582">
        <w:rPr>
          <w:rFonts w:eastAsia="Times New Roman"/>
          <w:lang w:val="en-US"/>
        </w:rPr>
        <w:t>,</w:t>
      </w:r>
    </w:p>
    <w:p w14:paraId="275B9A8C" w14:textId="27129FDC" w:rsidR="00CD7056" w:rsidRPr="00CD7056" w:rsidRDefault="00CD7056" w:rsidP="00CD7056">
      <w:pPr>
        <w:numPr>
          <w:ilvl w:val="0"/>
          <w:numId w:val="36"/>
        </w:numPr>
        <w:spacing w:after="120"/>
        <w:rPr>
          <w:rFonts w:eastAsia="Times New Roman"/>
          <w:lang w:val="en-US"/>
        </w:rPr>
      </w:pPr>
      <w:r w:rsidRPr="00CD7056">
        <w:rPr>
          <w:rFonts w:eastAsia="Times New Roman"/>
          <w:lang w:val="en-US"/>
        </w:rPr>
        <w:t>Start serving the UE with minimal delay, for both small data transmission and fast transition to RRC_CONNECTED</w:t>
      </w:r>
      <w:r w:rsidR="007D5582">
        <w:rPr>
          <w:rFonts w:eastAsia="Times New Roman"/>
          <w:lang w:val="en-US"/>
        </w:rPr>
        <w:t>.</w:t>
      </w:r>
    </w:p>
    <w:p w14:paraId="1B157BEC" w14:textId="42D11B49" w:rsidR="00CD7056" w:rsidRDefault="00CD7056" w:rsidP="00603022">
      <w:pPr>
        <w:spacing w:after="120"/>
        <w:rPr>
          <w:rFonts w:eastAsia="Times New Roman"/>
          <w:lang w:val="en-US"/>
        </w:rPr>
      </w:pPr>
      <w:r w:rsidRPr="00CD7056">
        <w:rPr>
          <w:rFonts w:eastAsia="Times New Roman"/>
          <w:lang w:val="en-US"/>
        </w:rPr>
        <w:t>This approach can significantly reduce signaling overhead while enabling fast data access after silent mobility.</w:t>
      </w:r>
    </w:p>
    <w:p w14:paraId="76987CA0" w14:textId="30B227FD" w:rsidR="00F038D6" w:rsidRDefault="00C87F57" w:rsidP="005B3FF9">
      <w:pPr>
        <w:spacing w:after="120"/>
        <w:rPr>
          <w:rFonts w:eastAsia="Times New Roman"/>
          <w:b/>
          <w:bCs/>
          <w:lang w:val="en-US"/>
        </w:rPr>
      </w:pPr>
      <w:r w:rsidRPr="00C87F57">
        <w:rPr>
          <w:rFonts w:eastAsia="Times New Roman"/>
          <w:b/>
          <w:bCs/>
          <w:lang w:val="en-US"/>
        </w:rPr>
        <w:t xml:space="preserve">Proposal 1: </w:t>
      </w:r>
      <w:r w:rsidR="00F038D6" w:rsidRPr="00F038D6">
        <w:rPr>
          <w:rFonts w:eastAsia="Times New Roman"/>
          <w:b/>
          <w:bCs/>
          <w:lang w:val="en-US"/>
        </w:rPr>
        <w:t>RAN2 should study a lightweight context transfer mechanism to enable fast context recovery after silent mobility in an inactive mode/sub-state, supporting both small data transmission and fast transition to RRC_CONNECTED.</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5547B1C0" w:rsidR="00DE683C" w:rsidRPr="00936676" w:rsidRDefault="00DE4B06" w:rsidP="00DE683C">
      <w:pPr>
        <w:rPr>
          <w:color w:val="000000" w:themeColor="text1"/>
          <w:lang w:val="en-US"/>
        </w:rPr>
      </w:pPr>
      <w:r w:rsidRPr="00DE4B06">
        <w:rPr>
          <w:rFonts w:eastAsia="Times New Roman"/>
        </w:rPr>
        <w:t xml:space="preserve">This contribution </w:t>
      </w:r>
      <w:r w:rsidR="001D0EEE">
        <w:rPr>
          <w:rFonts w:eastAsia="Times New Roman"/>
        </w:rPr>
        <w:t>discusses</w:t>
      </w:r>
      <w:r w:rsidRPr="00DE4B06">
        <w:rPr>
          <w:rFonts w:eastAsia="Times New Roman"/>
        </w:rPr>
        <w:t xml:space="preserve"> the challenge of UE context handling during silent mobility in an inactive mode/sub-state</w:t>
      </w:r>
      <w:r w:rsidR="00936676">
        <w:rPr>
          <w:rFonts w:eastAsia="Times New Roman"/>
        </w:rPr>
        <w:t>.</w:t>
      </w:r>
      <w:r w:rsidRPr="00DE4B06">
        <w:rPr>
          <w:rFonts w:eastAsia="Times New Roman"/>
        </w:rPr>
        <w:t xml:space="preserve"> </w:t>
      </w:r>
      <w:r w:rsidR="00936676" w:rsidRPr="00936676">
        <w:rPr>
          <w:color w:val="000000" w:themeColor="text1"/>
          <w:lang w:val="en-US"/>
        </w:rPr>
        <w:t>It identifies the impact on fast transition to data exchange and proposes further study in RAN2.</w:t>
      </w:r>
    </w:p>
    <w:p w14:paraId="0CABF4F3" w14:textId="77777777" w:rsidR="004F681E" w:rsidRDefault="004F681E" w:rsidP="004F681E">
      <w:pPr>
        <w:spacing w:after="120"/>
        <w:rPr>
          <w:rFonts w:eastAsia="Times New Roman"/>
          <w:b/>
          <w:bCs/>
          <w:lang w:val="en-US"/>
        </w:rPr>
      </w:pPr>
      <w:r w:rsidRPr="00CF3CE5">
        <w:rPr>
          <w:rFonts w:eastAsia="Times New Roman"/>
          <w:b/>
          <w:bCs/>
          <w:lang w:val="en-US"/>
        </w:rPr>
        <w:t xml:space="preserve">Observation </w:t>
      </w:r>
      <w:r>
        <w:rPr>
          <w:rFonts w:eastAsia="Times New Roman"/>
          <w:b/>
          <w:bCs/>
          <w:lang w:val="en-US"/>
        </w:rPr>
        <w:t>1</w:t>
      </w:r>
      <w:r w:rsidRPr="00CF3CE5">
        <w:rPr>
          <w:rFonts w:eastAsia="Times New Roman"/>
          <w:b/>
          <w:bCs/>
          <w:lang w:val="en-US"/>
        </w:rPr>
        <w:t>: Fast transition to data exchange can be achieved through small data transmission in the inactive mode/sub-state or through fast transition to RRC_CONNECTED state.</w:t>
      </w:r>
    </w:p>
    <w:p w14:paraId="1247AA3C" w14:textId="55F2F298" w:rsidR="004F681E" w:rsidRDefault="004F681E" w:rsidP="004F681E">
      <w:pPr>
        <w:spacing w:after="120"/>
        <w:rPr>
          <w:rFonts w:eastAsia="Times New Roman"/>
          <w:b/>
          <w:bCs/>
          <w:lang w:val="en-US"/>
        </w:rPr>
      </w:pPr>
      <w:r w:rsidRPr="003C770A">
        <w:rPr>
          <w:rFonts w:eastAsia="Times New Roman"/>
          <w:b/>
          <w:bCs/>
          <w:lang w:val="en-US"/>
        </w:rPr>
        <w:t xml:space="preserve">Observation </w:t>
      </w:r>
      <w:r>
        <w:rPr>
          <w:rFonts w:eastAsia="Times New Roman"/>
          <w:b/>
          <w:bCs/>
          <w:lang w:val="en-US"/>
        </w:rPr>
        <w:t>2</w:t>
      </w:r>
      <w:r w:rsidRPr="003C770A">
        <w:rPr>
          <w:rFonts w:eastAsia="Times New Roman"/>
          <w:b/>
          <w:bCs/>
          <w:lang w:val="en-US"/>
        </w:rPr>
        <w:t xml:space="preserve">: </w:t>
      </w:r>
      <w:r w:rsidRPr="001E359D">
        <w:rPr>
          <w:rFonts w:eastAsia="Times New Roman"/>
          <w:b/>
          <w:bCs/>
          <w:lang w:val="en-US"/>
        </w:rPr>
        <w:t>In an inactive mode/sub-state with silent mobility, the UE may change cells without explicit signaling, leading to a mismatch between the UE’s physical</w:t>
      </w:r>
      <w:r w:rsidR="00EB6F54">
        <w:rPr>
          <w:rFonts w:eastAsia="Times New Roman"/>
          <w:b/>
          <w:bCs/>
          <w:lang w:val="en-US"/>
        </w:rPr>
        <w:t xml:space="preserve"> cell</w:t>
      </w:r>
      <w:r w:rsidRPr="001E359D">
        <w:rPr>
          <w:rFonts w:eastAsia="Times New Roman"/>
          <w:b/>
          <w:bCs/>
          <w:lang w:val="en-US"/>
        </w:rPr>
        <w:t xml:space="preserve"> location and the cell holding its context. This negatively impacts both small data transmission and fast transition to RRC_CONNECTED.</w:t>
      </w:r>
    </w:p>
    <w:p w14:paraId="4494C545" w14:textId="77777777" w:rsidR="004F681E" w:rsidRPr="004F681E" w:rsidRDefault="004F681E" w:rsidP="004F681E">
      <w:pPr>
        <w:spacing w:after="120"/>
        <w:rPr>
          <w:rFonts w:eastAsia="Times New Roman"/>
          <w:b/>
          <w:bCs/>
          <w:lang w:val="en-US"/>
        </w:rPr>
      </w:pPr>
      <w:r w:rsidRPr="004F681E">
        <w:rPr>
          <w:rFonts w:eastAsia="Times New Roman"/>
          <w:b/>
          <w:bCs/>
          <w:lang w:val="en-US"/>
        </w:rPr>
        <w:t>Proposal 1: RAN2 should study a lightweight context transfer mechanism to enable fast context recovery after silent mobility in an inactive mode/sub-state, supporting both small data transmission and fast transition to RRC_CONNECTED.</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63D85CD4" w14:textId="0C3C8E3C" w:rsidR="00246456" w:rsidRPr="00897BB1" w:rsidRDefault="00246456" w:rsidP="00897BB1">
      <w:pPr>
        <w:jc w:val="both"/>
      </w:pPr>
      <w:r>
        <w:t>[</w:t>
      </w:r>
      <w:r w:rsidR="001D0EEE">
        <w:t>1</w:t>
      </w:r>
      <w:r>
        <w:t>] RAN2#13</w:t>
      </w:r>
      <w:r w:rsidR="001D0EEE">
        <w:t>2</w:t>
      </w:r>
      <w:r>
        <w:t xml:space="preserve"> Chair note</w:t>
      </w:r>
      <w:r w:rsidR="005F2BFC">
        <w:t>s</w:t>
      </w:r>
    </w:p>
    <w:sectPr w:rsidR="00246456"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5FA16" w14:textId="77777777" w:rsidR="007120B6" w:rsidRDefault="007120B6">
      <w:pPr>
        <w:spacing w:after="0"/>
      </w:pPr>
      <w:r>
        <w:separator/>
      </w:r>
    </w:p>
  </w:endnote>
  <w:endnote w:type="continuationSeparator" w:id="0">
    <w:p w14:paraId="72B116C2" w14:textId="77777777" w:rsidR="007120B6" w:rsidRDefault="007120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E64C7" w14:textId="77777777" w:rsidR="007120B6" w:rsidRDefault="007120B6">
      <w:pPr>
        <w:spacing w:after="0"/>
      </w:pPr>
      <w:r>
        <w:separator/>
      </w:r>
    </w:p>
  </w:footnote>
  <w:footnote w:type="continuationSeparator" w:id="0">
    <w:p w14:paraId="32219E46" w14:textId="77777777" w:rsidR="007120B6" w:rsidRDefault="007120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0617496B"/>
    <w:multiLevelType w:val="hybridMultilevel"/>
    <w:tmpl w:val="98047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A2037"/>
    <w:multiLevelType w:val="multilevel"/>
    <w:tmpl w:val="2462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B46B9E"/>
    <w:multiLevelType w:val="multilevel"/>
    <w:tmpl w:val="A58C9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1A47526C"/>
    <w:multiLevelType w:val="hybridMultilevel"/>
    <w:tmpl w:val="8F8EA1D0"/>
    <w:lvl w:ilvl="0" w:tplc="302C6232">
      <w:start w:val="1"/>
      <w:numFmt w:val="bullet"/>
      <w:lvlText w:val="•"/>
      <w:lvlJc w:val="left"/>
      <w:pPr>
        <w:ind w:left="720" w:hanging="360"/>
      </w:pPr>
    </w:lvl>
    <w:lvl w:ilvl="1" w:tplc="90BAB78E">
      <w:numFmt w:val="decimal"/>
      <w:lvlText w:val=""/>
      <w:lvlJc w:val="left"/>
      <w:pPr>
        <w:ind w:left="0" w:firstLine="0"/>
      </w:pPr>
    </w:lvl>
    <w:lvl w:ilvl="2" w:tplc="3A2E3EA8">
      <w:numFmt w:val="decimal"/>
      <w:lvlText w:val=""/>
      <w:lvlJc w:val="left"/>
      <w:pPr>
        <w:ind w:left="0" w:firstLine="0"/>
      </w:pPr>
    </w:lvl>
    <w:lvl w:ilvl="3" w:tplc="3B0A5288">
      <w:numFmt w:val="decimal"/>
      <w:lvlText w:val=""/>
      <w:lvlJc w:val="left"/>
      <w:pPr>
        <w:ind w:left="0" w:firstLine="0"/>
      </w:pPr>
    </w:lvl>
    <w:lvl w:ilvl="4" w:tplc="A4747E80">
      <w:numFmt w:val="decimal"/>
      <w:lvlText w:val=""/>
      <w:lvlJc w:val="left"/>
      <w:pPr>
        <w:ind w:left="0" w:firstLine="0"/>
      </w:pPr>
    </w:lvl>
    <w:lvl w:ilvl="5" w:tplc="7DB890F2">
      <w:numFmt w:val="decimal"/>
      <w:lvlText w:val=""/>
      <w:lvlJc w:val="left"/>
      <w:pPr>
        <w:ind w:left="0" w:firstLine="0"/>
      </w:pPr>
    </w:lvl>
    <w:lvl w:ilvl="6" w:tplc="02862A44">
      <w:numFmt w:val="decimal"/>
      <w:lvlText w:val=""/>
      <w:lvlJc w:val="left"/>
      <w:pPr>
        <w:ind w:left="0" w:firstLine="0"/>
      </w:pPr>
    </w:lvl>
    <w:lvl w:ilvl="7" w:tplc="D0BA103E">
      <w:numFmt w:val="decimal"/>
      <w:lvlText w:val=""/>
      <w:lvlJc w:val="left"/>
      <w:pPr>
        <w:ind w:left="0" w:firstLine="0"/>
      </w:pPr>
    </w:lvl>
    <w:lvl w:ilvl="8" w:tplc="A11EA9E0">
      <w:numFmt w:val="decimal"/>
      <w:lvlText w:val=""/>
      <w:lvlJc w:val="left"/>
      <w:pPr>
        <w:ind w:left="0" w:firstLine="0"/>
      </w:pPr>
    </w:lvl>
  </w:abstractNum>
  <w:abstractNum w:abstractNumId="8"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B84716"/>
    <w:multiLevelType w:val="multilevel"/>
    <w:tmpl w:val="D82E19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F430CD2"/>
    <w:multiLevelType w:val="multilevel"/>
    <w:tmpl w:val="FA6C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7831CF"/>
    <w:multiLevelType w:val="multilevel"/>
    <w:tmpl w:val="33F6E6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52440D5"/>
    <w:multiLevelType w:val="multilevel"/>
    <w:tmpl w:val="BABC5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3"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FD30A32"/>
    <w:multiLevelType w:val="multilevel"/>
    <w:tmpl w:val="C2AA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777987"/>
    <w:multiLevelType w:val="multilevel"/>
    <w:tmpl w:val="1BA0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34"/>
  </w:num>
  <w:num w:numId="2" w16cid:durableId="1595016719">
    <w:abstractNumId w:val="30"/>
  </w:num>
  <w:num w:numId="3" w16cid:durableId="759520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8"/>
  </w:num>
  <w:num w:numId="5" w16cid:durableId="684403787">
    <w:abstractNumId w:val="17"/>
  </w:num>
  <w:num w:numId="6" w16cid:durableId="253444351">
    <w:abstractNumId w:val="16"/>
  </w:num>
  <w:num w:numId="7" w16cid:durableId="1227959006">
    <w:abstractNumId w:val="12"/>
  </w:num>
  <w:num w:numId="8" w16cid:durableId="517499520">
    <w:abstractNumId w:val="15"/>
  </w:num>
  <w:num w:numId="9" w16cid:durableId="960653784">
    <w:abstractNumId w:val="14"/>
  </w:num>
  <w:num w:numId="10" w16cid:durableId="1492215482">
    <w:abstractNumId w:val="27"/>
  </w:num>
  <w:num w:numId="11" w16cid:durableId="1382635144">
    <w:abstractNumId w:val="23"/>
  </w:num>
  <w:num w:numId="12" w16cid:durableId="802842921">
    <w:abstractNumId w:val="22"/>
  </w:num>
  <w:num w:numId="13" w16cid:durableId="2511646">
    <w:abstractNumId w:val="19"/>
  </w:num>
  <w:num w:numId="14" w16cid:durableId="1428307556">
    <w:abstractNumId w:val="2"/>
  </w:num>
  <w:num w:numId="15" w16cid:durableId="167327638">
    <w:abstractNumId w:val="6"/>
  </w:num>
  <w:num w:numId="16" w16cid:durableId="8648303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20"/>
  </w:num>
  <w:num w:numId="18" w16cid:durableId="521944967">
    <w:abstractNumId w:val="24"/>
  </w:num>
  <w:num w:numId="19" w16cid:durableId="1208567500">
    <w:abstractNumId w:val="32"/>
  </w:num>
  <w:num w:numId="20" w16cid:durableId="1135878197">
    <w:abstractNumId w:val="9"/>
  </w:num>
  <w:num w:numId="21" w16cid:durableId="813453438">
    <w:abstractNumId w:val="8"/>
  </w:num>
  <w:num w:numId="22" w16cid:durableId="1129933366">
    <w:abstractNumId w:val="1"/>
  </w:num>
  <w:num w:numId="23" w16cid:durableId="420683393">
    <w:abstractNumId w:val="31"/>
  </w:num>
  <w:num w:numId="24" w16cid:durableId="105776745">
    <w:abstractNumId w:val="13"/>
  </w:num>
  <w:num w:numId="25" w16cid:durableId="2007245751">
    <w:abstractNumId w:val="0"/>
  </w:num>
  <w:num w:numId="26" w16cid:durableId="925576411">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9238494">
    <w:abstractNumId w:val="18"/>
  </w:num>
  <w:num w:numId="28" w16cid:durableId="54621562">
    <w:abstractNumId w:val="10"/>
  </w:num>
  <w:num w:numId="29" w16cid:durableId="1328627765">
    <w:abstractNumId w:val="21"/>
  </w:num>
  <w:num w:numId="30" w16cid:durableId="1889873939">
    <w:abstractNumId w:val="5"/>
  </w:num>
  <w:num w:numId="31" w16cid:durableId="1217938064">
    <w:abstractNumId w:val="26"/>
  </w:num>
  <w:num w:numId="32" w16cid:durableId="1307660840">
    <w:abstractNumId w:val="3"/>
  </w:num>
  <w:num w:numId="33" w16cid:durableId="1011226053">
    <w:abstractNumId w:val="7"/>
  </w:num>
  <w:num w:numId="34" w16cid:durableId="66269393">
    <w:abstractNumId w:val="4"/>
  </w:num>
  <w:num w:numId="35" w16cid:durableId="14230988">
    <w:abstractNumId w:val="33"/>
  </w:num>
  <w:num w:numId="36" w16cid:durableId="4826198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2AC3"/>
    <w:rsid w:val="0000470C"/>
    <w:rsid w:val="00004F8A"/>
    <w:rsid w:val="00011DB0"/>
    <w:rsid w:val="00014914"/>
    <w:rsid w:val="00015DB8"/>
    <w:rsid w:val="000161FE"/>
    <w:rsid w:val="00016EC0"/>
    <w:rsid w:val="00017756"/>
    <w:rsid w:val="000206CB"/>
    <w:rsid w:val="00020E96"/>
    <w:rsid w:val="00021134"/>
    <w:rsid w:val="00026BFD"/>
    <w:rsid w:val="00027A6F"/>
    <w:rsid w:val="00027B78"/>
    <w:rsid w:val="00031E78"/>
    <w:rsid w:val="00034FE7"/>
    <w:rsid w:val="00040BE4"/>
    <w:rsid w:val="00042AEB"/>
    <w:rsid w:val="00042D27"/>
    <w:rsid w:val="000446EA"/>
    <w:rsid w:val="00050AD1"/>
    <w:rsid w:val="0005195A"/>
    <w:rsid w:val="00060172"/>
    <w:rsid w:val="00060557"/>
    <w:rsid w:val="00061CB1"/>
    <w:rsid w:val="00062D3B"/>
    <w:rsid w:val="000638DD"/>
    <w:rsid w:val="00064BF8"/>
    <w:rsid w:val="000662A1"/>
    <w:rsid w:val="00071A6C"/>
    <w:rsid w:val="00073044"/>
    <w:rsid w:val="000730F8"/>
    <w:rsid w:val="00076408"/>
    <w:rsid w:val="000765CC"/>
    <w:rsid w:val="00077462"/>
    <w:rsid w:val="00082A97"/>
    <w:rsid w:val="000860FF"/>
    <w:rsid w:val="00092C83"/>
    <w:rsid w:val="000953F5"/>
    <w:rsid w:val="00097D68"/>
    <w:rsid w:val="000A28C5"/>
    <w:rsid w:val="000A2C7B"/>
    <w:rsid w:val="000A3C04"/>
    <w:rsid w:val="000A43BD"/>
    <w:rsid w:val="000A44F6"/>
    <w:rsid w:val="000B268C"/>
    <w:rsid w:val="000B4AB4"/>
    <w:rsid w:val="000B5942"/>
    <w:rsid w:val="000B5C88"/>
    <w:rsid w:val="000B5CFA"/>
    <w:rsid w:val="000B6CF6"/>
    <w:rsid w:val="000C080C"/>
    <w:rsid w:val="000C2156"/>
    <w:rsid w:val="000C279D"/>
    <w:rsid w:val="000C3363"/>
    <w:rsid w:val="000C5727"/>
    <w:rsid w:val="000D0A6D"/>
    <w:rsid w:val="000D0D3F"/>
    <w:rsid w:val="000D162A"/>
    <w:rsid w:val="000D3B44"/>
    <w:rsid w:val="000D4BE6"/>
    <w:rsid w:val="000D57FC"/>
    <w:rsid w:val="000D7613"/>
    <w:rsid w:val="000E2E35"/>
    <w:rsid w:val="000E44E0"/>
    <w:rsid w:val="000F14AA"/>
    <w:rsid w:val="000F4885"/>
    <w:rsid w:val="000F4A77"/>
    <w:rsid w:val="000F6A45"/>
    <w:rsid w:val="00100287"/>
    <w:rsid w:val="0010215E"/>
    <w:rsid w:val="001024F8"/>
    <w:rsid w:val="00107CEB"/>
    <w:rsid w:val="001216C0"/>
    <w:rsid w:val="00121F7F"/>
    <w:rsid w:val="00122E61"/>
    <w:rsid w:val="001230E0"/>
    <w:rsid w:val="001300EE"/>
    <w:rsid w:val="00130381"/>
    <w:rsid w:val="00132E64"/>
    <w:rsid w:val="00136618"/>
    <w:rsid w:val="00136F65"/>
    <w:rsid w:val="001370E8"/>
    <w:rsid w:val="00140A58"/>
    <w:rsid w:val="00141699"/>
    <w:rsid w:val="00141CF1"/>
    <w:rsid w:val="00141E98"/>
    <w:rsid w:val="00144C50"/>
    <w:rsid w:val="001512ED"/>
    <w:rsid w:val="00154F40"/>
    <w:rsid w:val="001A0A7C"/>
    <w:rsid w:val="001A0E67"/>
    <w:rsid w:val="001A642E"/>
    <w:rsid w:val="001A6F66"/>
    <w:rsid w:val="001A7467"/>
    <w:rsid w:val="001B0FB9"/>
    <w:rsid w:val="001B2140"/>
    <w:rsid w:val="001B2547"/>
    <w:rsid w:val="001C0FA8"/>
    <w:rsid w:val="001C18AB"/>
    <w:rsid w:val="001C3107"/>
    <w:rsid w:val="001C4D6D"/>
    <w:rsid w:val="001D0EEE"/>
    <w:rsid w:val="001D1D1D"/>
    <w:rsid w:val="001D1F62"/>
    <w:rsid w:val="001D43D6"/>
    <w:rsid w:val="001D5A50"/>
    <w:rsid w:val="001D6F61"/>
    <w:rsid w:val="001E0F32"/>
    <w:rsid w:val="001E359D"/>
    <w:rsid w:val="001F20F1"/>
    <w:rsid w:val="001F5555"/>
    <w:rsid w:val="001F6B6D"/>
    <w:rsid w:val="001F6C76"/>
    <w:rsid w:val="001F725E"/>
    <w:rsid w:val="00204612"/>
    <w:rsid w:val="00204CE5"/>
    <w:rsid w:val="00210B20"/>
    <w:rsid w:val="00214D6D"/>
    <w:rsid w:val="0021755A"/>
    <w:rsid w:val="00220110"/>
    <w:rsid w:val="0022033D"/>
    <w:rsid w:val="0022076D"/>
    <w:rsid w:val="00221138"/>
    <w:rsid w:val="0022185E"/>
    <w:rsid w:val="00223BB3"/>
    <w:rsid w:val="00225A2F"/>
    <w:rsid w:val="00226BA5"/>
    <w:rsid w:val="00227679"/>
    <w:rsid w:val="00230D73"/>
    <w:rsid w:val="002322B2"/>
    <w:rsid w:val="00232827"/>
    <w:rsid w:val="002339BF"/>
    <w:rsid w:val="00235640"/>
    <w:rsid w:val="0024247D"/>
    <w:rsid w:val="0024401F"/>
    <w:rsid w:val="00244E00"/>
    <w:rsid w:val="00246456"/>
    <w:rsid w:val="00253969"/>
    <w:rsid w:val="002552D4"/>
    <w:rsid w:val="0025637D"/>
    <w:rsid w:val="0025640F"/>
    <w:rsid w:val="0025650B"/>
    <w:rsid w:val="00262556"/>
    <w:rsid w:val="00262724"/>
    <w:rsid w:val="0026582A"/>
    <w:rsid w:val="00270FA4"/>
    <w:rsid w:val="00271240"/>
    <w:rsid w:val="00272E1D"/>
    <w:rsid w:val="00273697"/>
    <w:rsid w:val="002755C9"/>
    <w:rsid w:val="002766F3"/>
    <w:rsid w:val="0028293C"/>
    <w:rsid w:val="0028709F"/>
    <w:rsid w:val="00291C29"/>
    <w:rsid w:val="0029725A"/>
    <w:rsid w:val="002A069C"/>
    <w:rsid w:val="002A2522"/>
    <w:rsid w:val="002A52C9"/>
    <w:rsid w:val="002A5744"/>
    <w:rsid w:val="002A5DC1"/>
    <w:rsid w:val="002A764E"/>
    <w:rsid w:val="002B13F8"/>
    <w:rsid w:val="002B1553"/>
    <w:rsid w:val="002B245A"/>
    <w:rsid w:val="002B2DF5"/>
    <w:rsid w:val="002C0B9A"/>
    <w:rsid w:val="002C4408"/>
    <w:rsid w:val="002D124A"/>
    <w:rsid w:val="002D311D"/>
    <w:rsid w:val="002D44D2"/>
    <w:rsid w:val="002D5CAE"/>
    <w:rsid w:val="002E0042"/>
    <w:rsid w:val="002E0E77"/>
    <w:rsid w:val="002E1089"/>
    <w:rsid w:val="002E16C0"/>
    <w:rsid w:val="002E3E25"/>
    <w:rsid w:val="002E655B"/>
    <w:rsid w:val="002E7E94"/>
    <w:rsid w:val="002F0EC8"/>
    <w:rsid w:val="002F1988"/>
    <w:rsid w:val="002F385F"/>
    <w:rsid w:val="002F5289"/>
    <w:rsid w:val="00300CED"/>
    <w:rsid w:val="0030210F"/>
    <w:rsid w:val="00304B2A"/>
    <w:rsid w:val="00304C73"/>
    <w:rsid w:val="00305B7E"/>
    <w:rsid w:val="003060DA"/>
    <w:rsid w:val="00314C53"/>
    <w:rsid w:val="00315ECD"/>
    <w:rsid w:val="00317201"/>
    <w:rsid w:val="00323AEA"/>
    <w:rsid w:val="00331497"/>
    <w:rsid w:val="00331C61"/>
    <w:rsid w:val="003361C0"/>
    <w:rsid w:val="00336EC5"/>
    <w:rsid w:val="00336EEB"/>
    <w:rsid w:val="0034017D"/>
    <w:rsid w:val="00340AC6"/>
    <w:rsid w:val="00340E1E"/>
    <w:rsid w:val="0034323B"/>
    <w:rsid w:val="00345D84"/>
    <w:rsid w:val="00351CD9"/>
    <w:rsid w:val="00356DA3"/>
    <w:rsid w:val="0035752D"/>
    <w:rsid w:val="003631BD"/>
    <w:rsid w:val="00363B8A"/>
    <w:rsid w:val="00370BFE"/>
    <w:rsid w:val="0037562D"/>
    <w:rsid w:val="00377F6B"/>
    <w:rsid w:val="00382D50"/>
    <w:rsid w:val="00383F24"/>
    <w:rsid w:val="00387F97"/>
    <w:rsid w:val="00390E4A"/>
    <w:rsid w:val="003A0765"/>
    <w:rsid w:val="003A10C6"/>
    <w:rsid w:val="003A2BFA"/>
    <w:rsid w:val="003A3BC2"/>
    <w:rsid w:val="003A74D7"/>
    <w:rsid w:val="003B0281"/>
    <w:rsid w:val="003B376C"/>
    <w:rsid w:val="003B5E8D"/>
    <w:rsid w:val="003C0543"/>
    <w:rsid w:val="003C0755"/>
    <w:rsid w:val="003C770A"/>
    <w:rsid w:val="003D2128"/>
    <w:rsid w:val="003D221A"/>
    <w:rsid w:val="003D452D"/>
    <w:rsid w:val="003D5D29"/>
    <w:rsid w:val="003E090B"/>
    <w:rsid w:val="003E12C1"/>
    <w:rsid w:val="003E1442"/>
    <w:rsid w:val="003E60C3"/>
    <w:rsid w:val="003F1649"/>
    <w:rsid w:val="003F3B2E"/>
    <w:rsid w:val="003F6A35"/>
    <w:rsid w:val="00400A2F"/>
    <w:rsid w:val="004044DB"/>
    <w:rsid w:val="00410136"/>
    <w:rsid w:val="00412625"/>
    <w:rsid w:val="00414EF4"/>
    <w:rsid w:val="00420B26"/>
    <w:rsid w:val="00423235"/>
    <w:rsid w:val="004239C0"/>
    <w:rsid w:val="00425283"/>
    <w:rsid w:val="004260FA"/>
    <w:rsid w:val="00426454"/>
    <w:rsid w:val="00440C58"/>
    <w:rsid w:val="00443D9D"/>
    <w:rsid w:val="004451FF"/>
    <w:rsid w:val="004454F9"/>
    <w:rsid w:val="00445A50"/>
    <w:rsid w:val="00445C35"/>
    <w:rsid w:val="00445D09"/>
    <w:rsid w:val="004474A2"/>
    <w:rsid w:val="004511C4"/>
    <w:rsid w:val="00453501"/>
    <w:rsid w:val="004551B6"/>
    <w:rsid w:val="00461D30"/>
    <w:rsid w:val="00466408"/>
    <w:rsid w:val="00470B1C"/>
    <w:rsid w:val="00472ACB"/>
    <w:rsid w:val="004747A8"/>
    <w:rsid w:val="00475356"/>
    <w:rsid w:val="004755C7"/>
    <w:rsid w:val="0047629D"/>
    <w:rsid w:val="004775DF"/>
    <w:rsid w:val="00481C8E"/>
    <w:rsid w:val="00484166"/>
    <w:rsid w:val="00486957"/>
    <w:rsid w:val="00487A73"/>
    <w:rsid w:val="0049306E"/>
    <w:rsid w:val="004939A2"/>
    <w:rsid w:val="004966A9"/>
    <w:rsid w:val="0049710A"/>
    <w:rsid w:val="00497CDF"/>
    <w:rsid w:val="004A03F8"/>
    <w:rsid w:val="004A2BE0"/>
    <w:rsid w:val="004A5C38"/>
    <w:rsid w:val="004A7A72"/>
    <w:rsid w:val="004B0663"/>
    <w:rsid w:val="004B09FB"/>
    <w:rsid w:val="004B1A1A"/>
    <w:rsid w:val="004B1D92"/>
    <w:rsid w:val="004B3B1B"/>
    <w:rsid w:val="004B4EE2"/>
    <w:rsid w:val="004B5EF8"/>
    <w:rsid w:val="004C07E1"/>
    <w:rsid w:val="004C0A6A"/>
    <w:rsid w:val="004C15F7"/>
    <w:rsid w:val="004C247E"/>
    <w:rsid w:val="004C2804"/>
    <w:rsid w:val="004D520B"/>
    <w:rsid w:val="004D7EF5"/>
    <w:rsid w:val="004E157E"/>
    <w:rsid w:val="004E2067"/>
    <w:rsid w:val="004E216A"/>
    <w:rsid w:val="004E2AAC"/>
    <w:rsid w:val="004E2BF6"/>
    <w:rsid w:val="004E6AAD"/>
    <w:rsid w:val="004F0E83"/>
    <w:rsid w:val="004F2728"/>
    <w:rsid w:val="004F607F"/>
    <w:rsid w:val="004F681E"/>
    <w:rsid w:val="0050135D"/>
    <w:rsid w:val="00510FBD"/>
    <w:rsid w:val="005126F9"/>
    <w:rsid w:val="00512B72"/>
    <w:rsid w:val="0051593C"/>
    <w:rsid w:val="0052202D"/>
    <w:rsid w:val="00523B58"/>
    <w:rsid w:val="005301DE"/>
    <w:rsid w:val="00530D33"/>
    <w:rsid w:val="00532707"/>
    <w:rsid w:val="00532FF8"/>
    <w:rsid w:val="0053311D"/>
    <w:rsid w:val="00535FFE"/>
    <w:rsid w:val="00536684"/>
    <w:rsid w:val="00540623"/>
    <w:rsid w:val="00543325"/>
    <w:rsid w:val="00544201"/>
    <w:rsid w:val="00544B75"/>
    <w:rsid w:val="00545542"/>
    <w:rsid w:val="0054557A"/>
    <w:rsid w:val="00550FF8"/>
    <w:rsid w:val="0055216C"/>
    <w:rsid w:val="005529B8"/>
    <w:rsid w:val="0055632F"/>
    <w:rsid w:val="00556A0E"/>
    <w:rsid w:val="00562D67"/>
    <w:rsid w:val="005659D5"/>
    <w:rsid w:val="00566A0F"/>
    <w:rsid w:val="00570234"/>
    <w:rsid w:val="005702A1"/>
    <w:rsid w:val="00574FAA"/>
    <w:rsid w:val="0057684C"/>
    <w:rsid w:val="00577224"/>
    <w:rsid w:val="0058062E"/>
    <w:rsid w:val="005903F0"/>
    <w:rsid w:val="00590CE7"/>
    <w:rsid w:val="00591C1E"/>
    <w:rsid w:val="00593C41"/>
    <w:rsid w:val="00594878"/>
    <w:rsid w:val="005A0A94"/>
    <w:rsid w:val="005A24E5"/>
    <w:rsid w:val="005A3330"/>
    <w:rsid w:val="005A560A"/>
    <w:rsid w:val="005A5B63"/>
    <w:rsid w:val="005B39E9"/>
    <w:rsid w:val="005B3FF9"/>
    <w:rsid w:val="005C35C1"/>
    <w:rsid w:val="005C5FE1"/>
    <w:rsid w:val="005D0F56"/>
    <w:rsid w:val="005D1B94"/>
    <w:rsid w:val="005D2340"/>
    <w:rsid w:val="005D2DF7"/>
    <w:rsid w:val="005D4443"/>
    <w:rsid w:val="005D7701"/>
    <w:rsid w:val="005D7EDC"/>
    <w:rsid w:val="005E0851"/>
    <w:rsid w:val="005E3C1D"/>
    <w:rsid w:val="005F2BFC"/>
    <w:rsid w:val="005F2D87"/>
    <w:rsid w:val="005F4D50"/>
    <w:rsid w:val="006010FE"/>
    <w:rsid w:val="00601FB8"/>
    <w:rsid w:val="00603022"/>
    <w:rsid w:val="0060404A"/>
    <w:rsid w:val="00604ED6"/>
    <w:rsid w:val="00614A36"/>
    <w:rsid w:val="00614E49"/>
    <w:rsid w:val="0062216F"/>
    <w:rsid w:val="00627661"/>
    <w:rsid w:val="0063017F"/>
    <w:rsid w:val="006323BE"/>
    <w:rsid w:val="00633F58"/>
    <w:rsid w:val="006346D7"/>
    <w:rsid w:val="00637512"/>
    <w:rsid w:val="006377CC"/>
    <w:rsid w:val="00637C79"/>
    <w:rsid w:val="006419B1"/>
    <w:rsid w:val="006426FA"/>
    <w:rsid w:val="0064352D"/>
    <w:rsid w:val="00643AA0"/>
    <w:rsid w:val="00646BE0"/>
    <w:rsid w:val="0065181B"/>
    <w:rsid w:val="006538C6"/>
    <w:rsid w:val="0065400D"/>
    <w:rsid w:val="006550DB"/>
    <w:rsid w:val="0065719B"/>
    <w:rsid w:val="00660E10"/>
    <w:rsid w:val="00664465"/>
    <w:rsid w:val="00664BC9"/>
    <w:rsid w:val="00666968"/>
    <w:rsid w:val="00667996"/>
    <w:rsid w:val="00672EF0"/>
    <w:rsid w:val="0067338C"/>
    <w:rsid w:val="00674A61"/>
    <w:rsid w:val="006808F4"/>
    <w:rsid w:val="0068450E"/>
    <w:rsid w:val="006849FA"/>
    <w:rsid w:val="006907DA"/>
    <w:rsid w:val="00691D30"/>
    <w:rsid w:val="00695E46"/>
    <w:rsid w:val="00696E0B"/>
    <w:rsid w:val="006A34A4"/>
    <w:rsid w:val="006A6F86"/>
    <w:rsid w:val="006B00BC"/>
    <w:rsid w:val="006B32C0"/>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4D8B"/>
    <w:rsid w:val="00705A93"/>
    <w:rsid w:val="007113ED"/>
    <w:rsid w:val="007120B6"/>
    <w:rsid w:val="007154C0"/>
    <w:rsid w:val="0071652C"/>
    <w:rsid w:val="00721AB9"/>
    <w:rsid w:val="00723787"/>
    <w:rsid w:val="00723AF9"/>
    <w:rsid w:val="007247C2"/>
    <w:rsid w:val="00725CBD"/>
    <w:rsid w:val="0073132F"/>
    <w:rsid w:val="007324FE"/>
    <w:rsid w:val="00733AC4"/>
    <w:rsid w:val="00733F0C"/>
    <w:rsid w:val="0073427E"/>
    <w:rsid w:val="007346BC"/>
    <w:rsid w:val="00736ABF"/>
    <w:rsid w:val="00736C20"/>
    <w:rsid w:val="00740B5E"/>
    <w:rsid w:val="00740E15"/>
    <w:rsid w:val="00742C55"/>
    <w:rsid w:val="0074542A"/>
    <w:rsid w:val="00746609"/>
    <w:rsid w:val="00746E67"/>
    <w:rsid w:val="00747364"/>
    <w:rsid w:val="007525DB"/>
    <w:rsid w:val="0075421B"/>
    <w:rsid w:val="007579F6"/>
    <w:rsid w:val="00760F10"/>
    <w:rsid w:val="0076546B"/>
    <w:rsid w:val="00766522"/>
    <w:rsid w:val="007733F8"/>
    <w:rsid w:val="00773592"/>
    <w:rsid w:val="00774925"/>
    <w:rsid w:val="00774C74"/>
    <w:rsid w:val="00784F6E"/>
    <w:rsid w:val="00786306"/>
    <w:rsid w:val="007869F2"/>
    <w:rsid w:val="007903F5"/>
    <w:rsid w:val="00793AF2"/>
    <w:rsid w:val="007A09BE"/>
    <w:rsid w:val="007A7F2B"/>
    <w:rsid w:val="007B199F"/>
    <w:rsid w:val="007B2551"/>
    <w:rsid w:val="007B2CB5"/>
    <w:rsid w:val="007B4BC2"/>
    <w:rsid w:val="007B5431"/>
    <w:rsid w:val="007B6EC7"/>
    <w:rsid w:val="007B7498"/>
    <w:rsid w:val="007C011C"/>
    <w:rsid w:val="007C170D"/>
    <w:rsid w:val="007C20A1"/>
    <w:rsid w:val="007C4AA6"/>
    <w:rsid w:val="007C7757"/>
    <w:rsid w:val="007D01AA"/>
    <w:rsid w:val="007D2DE8"/>
    <w:rsid w:val="007D5582"/>
    <w:rsid w:val="007D5E2B"/>
    <w:rsid w:val="007D6AC7"/>
    <w:rsid w:val="007D70C9"/>
    <w:rsid w:val="007E4190"/>
    <w:rsid w:val="007E50A7"/>
    <w:rsid w:val="007E59B7"/>
    <w:rsid w:val="007F03C6"/>
    <w:rsid w:val="007F3C16"/>
    <w:rsid w:val="007F4EF2"/>
    <w:rsid w:val="007F64A9"/>
    <w:rsid w:val="007F650F"/>
    <w:rsid w:val="008000D3"/>
    <w:rsid w:val="008056DC"/>
    <w:rsid w:val="00810230"/>
    <w:rsid w:val="00810886"/>
    <w:rsid w:val="00814943"/>
    <w:rsid w:val="00817D7F"/>
    <w:rsid w:val="00822DFD"/>
    <w:rsid w:val="008234E6"/>
    <w:rsid w:val="0083040B"/>
    <w:rsid w:val="0083175D"/>
    <w:rsid w:val="0083234C"/>
    <w:rsid w:val="008332D7"/>
    <w:rsid w:val="00833C22"/>
    <w:rsid w:val="00833D65"/>
    <w:rsid w:val="008351CC"/>
    <w:rsid w:val="008406F1"/>
    <w:rsid w:val="0084115F"/>
    <w:rsid w:val="00844921"/>
    <w:rsid w:val="00846351"/>
    <w:rsid w:val="008474F5"/>
    <w:rsid w:val="00850934"/>
    <w:rsid w:val="00852DBC"/>
    <w:rsid w:val="0086063D"/>
    <w:rsid w:val="00861560"/>
    <w:rsid w:val="0086379D"/>
    <w:rsid w:val="00866DDD"/>
    <w:rsid w:val="00867747"/>
    <w:rsid w:val="00867846"/>
    <w:rsid w:val="008727EE"/>
    <w:rsid w:val="00873890"/>
    <w:rsid w:val="00874AD6"/>
    <w:rsid w:val="00874F31"/>
    <w:rsid w:val="00875F6A"/>
    <w:rsid w:val="0087603F"/>
    <w:rsid w:val="008768CB"/>
    <w:rsid w:val="00880A2A"/>
    <w:rsid w:val="00883479"/>
    <w:rsid w:val="008850F7"/>
    <w:rsid w:val="00885267"/>
    <w:rsid w:val="00885B62"/>
    <w:rsid w:val="00886134"/>
    <w:rsid w:val="00893130"/>
    <w:rsid w:val="008935C8"/>
    <w:rsid w:val="008960E2"/>
    <w:rsid w:val="008977A4"/>
    <w:rsid w:val="00897BB1"/>
    <w:rsid w:val="00897CF0"/>
    <w:rsid w:val="008A2616"/>
    <w:rsid w:val="008A5FA1"/>
    <w:rsid w:val="008B0260"/>
    <w:rsid w:val="008B085E"/>
    <w:rsid w:val="008B1D32"/>
    <w:rsid w:val="008B1E95"/>
    <w:rsid w:val="008B31AE"/>
    <w:rsid w:val="008B3329"/>
    <w:rsid w:val="008B383F"/>
    <w:rsid w:val="008B49D5"/>
    <w:rsid w:val="008C42A0"/>
    <w:rsid w:val="008C5643"/>
    <w:rsid w:val="008D7262"/>
    <w:rsid w:val="008E3025"/>
    <w:rsid w:val="008E3D0A"/>
    <w:rsid w:val="008E6D3B"/>
    <w:rsid w:val="008F0D71"/>
    <w:rsid w:val="008F0F80"/>
    <w:rsid w:val="008F54AD"/>
    <w:rsid w:val="008F6018"/>
    <w:rsid w:val="008F786A"/>
    <w:rsid w:val="009015BE"/>
    <w:rsid w:val="00903AB1"/>
    <w:rsid w:val="00904BF3"/>
    <w:rsid w:val="00906603"/>
    <w:rsid w:val="0091689A"/>
    <w:rsid w:val="009227A2"/>
    <w:rsid w:val="0092561F"/>
    <w:rsid w:val="00926467"/>
    <w:rsid w:val="00927CFB"/>
    <w:rsid w:val="00933325"/>
    <w:rsid w:val="0093354D"/>
    <w:rsid w:val="00936676"/>
    <w:rsid w:val="00936F1D"/>
    <w:rsid w:val="009377BC"/>
    <w:rsid w:val="009442C2"/>
    <w:rsid w:val="00945102"/>
    <w:rsid w:val="00945D14"/>
    <w:rsid w:val="009466FA"/>
    <w:rsid w:val="00950977"/>
    <w:rsid w:val="00953052"/>
    <w:rsid w:val="009569FD"/>
    <w:rsid w:val="009609AF"/>
    <w:rsid w:val="00960F78"/>
    <w:rsid w:val="0096588A"/>
    <w:rsid w:val="009670AA"/>
    <w:rsid w:val="00973EE5"/>
    <w:rsid w:val="009740C5"/>
    <w:rsid w:val="00985D66"/>
    <w:rsid w:val="009865B0"/>
    <w:rsid w:val="00991A69"/>
    <w:rsid w:val="00997289"/>
    <w:rsid w:val="00997CB3"/>
    <w:rsid w:val="009A1492"/>
    <w:rsid w:val="009A1B58"/>
    <w:rsid w:val="009A405F"/>
    <w:rsid w:val="009A4510"/>
    <w:rsid w:val="009A7E2F"/>
    <w:rsid w:val="009A7EA5"/>
    <w:rsid w:val="009B2F6A"/>
    <w:rsid w:val="009B57F8"/>
    <w:rsid w:val="009B78EF"/>
    <w:rsid w:val="009B7DCB"/>
    <w:rsid w:val="009C2ECD"/>
    <w:rsid w:val="009C7E25"/>
    <w:rsid w:val="009D36D9"/>
    <w:rsid w:val="009D3F32"/>
    <w:rsid w:val="009D7BA7"/>
    <w:rsid w:val="009E6A81"/>
    <w:rsid w:val="009E7FA1"/>
    <w:rsid w:val="009F1EA0"/>
    <w:rsid w:val="009F5367"/>
    <w:rsid w:val="009F5A26"/>
    <w:rsid w:val="009F75A7"/>
    <w:rsid w:val="009F7D43"/>
    <w:rsid w:val="00A024A3"/>
    <w:rsid w:val="00A04337"/>
    <w:rsid w:val="00A06898"/>
    <w:rsid w:val="00A06EB6"/>
    <w:rsid w:val="00A13A5F"/>
    <w:rsid w:val="00A13FE4"/>
    <w:rsid w:val="00A14D52"/>
    <w:rsid w:val="00A151D5"/>
    <w:rsid w:val="00A17E72"/>
    <w:rsid w:val="00A21415"/>
    <w:rsid w:val="00A2169F"/>
    <w:rsid w:val="00A21BD3"/>
    <w:rsid w:val="00A227CA"/>
    <w:rsid w:val="00A26EBC"/>
    <w:rsid w:val="00A27AE4"/>
    <w:rsid w:val="00A33710"/>
    <w:rsid w:val="00A36A21"/>
    <w:rsid w:val="00A414A8"/>
    <w:rsid w:val="00A447D5"/>
    <w:rsid w:val="00A475A0"/>
    <w:rsid w:val="00A510B5"/>
    <w:rsid w:val="00A526DB"/>
    <w:rsid w:val="00A5347E"/>
    <w:rsid w:val="00A53D09"/>
    <w:rsid w:val="00A5515C"/>
    <w:rsid w:val="00A55727"/>
    <w:rsid w:val="00A57671"/>
    <w:rsid w:val="00A615EC"/>
    <w:rsid w:val="00A62764"/>
    <w:rsid w:val="00A628FB"/>
    <w:rsid w:val="00A65ABD"/>
    <w:rsid w:val="00A7326B"/>
    <w:rsid w:val="00A74DD5"/>
    <w:rsid w:val="00A77CD3"/>
    <w:rsid w:val="00A817C1"/>
    <w:rsid w:val="00A875C3"/>
    <w:rsid w:val="00A962CA"/>
    <w:rsid w:val="00AA2079"/>
    <w:rsid w:val="00AA3518"/>
    <w:rsid w:val="00AA48A5"/>
    <w:rsid w:val="00AA4DEE"/>
    <w:rsid w:val="00AA6472"/>
    <w:rsid w:val="00AA6825"/>
    <w:rsid w:val="00AA6A3A"/>
    <w:rsid w:val="00AB1926"/>
    <w:rsid w:val="00AC0E18"/>
    <w:rsid w:val="00AC11D8"/>
    <w:rsid w:val="00AC533B"/>
    <w:rsid w:val="00AC64BD"/>
    <w:rsid w:val="00AD2D5B"/>
    <w:rsid w:val="00AD7339"/>
    <w:rsid w:val="00AE1910"/>
    <w:rsid w:val="00AE3077"/>
    <w:rsid w:val="00AF1DC7"/>
    <w:rsid w:val="00AF6C56"/>
    <w:rsid w:val="00B00AB3"/>
    <w:rsid w:val="00B018C7"/>
    <w:rsid w:val="00B01F0F"/>
    <w:rsid w:val="00B02E5B"/>
    <w:rsid w:val="00B0629E"/>
    <w:rsid w:val="00B10053"/>
    <w:rsid w:val="00B11019"/>
    <w:rsid w:val="00B123E0"/>
    <w:rsid w:val="00B12530"/>
    <w:rsid w:val="00B21D4A"/>
    <w:rsid w:val="00B23B85"/>
    <w:rsid w:val="00B249EB"/>
    <w:rsid w:val="00B2645E"/>
    <w:rsid w:val="00B270F7"/>
    <w:rsid w:val="00B2752A"/>
    <w:rsid w:val="00B313CD"/>
    <w:rsid w:val="00B318BF"/>
    <w:rsid w:val="00B35401"/>
    <w:rsid w:val="00B373F6"/>
    <w:rsid w:val="00B41AD3"/>
    <w:rsid w:val="00B44C36"/>
    <w:rsid w:val="00B4640D"/>
    <w:rsid w:val="00B4721D"/>
    <w:rsid w:val="00B472ED"/>
    <w:rsid w:val="00B50481"/>
    <w:rsid w:val="00B50632"/>
    <w:rsid w:val="00B522BA"/>
    <w:rsid w:val="00B5375B"/>
    <w:rsid w:val="00B54C28"/>
    <w:rsid w:val="00B57D98"/>
    <w:rsid w:val="00B609F7"/>
    <w:rsid w:val="00B60DBA"/>
    <w:rsid w:val="00B617DF"/>
    <w:rsid w:val="00B655AA"/>
    <w:rsid w:val="00B66FD0"/>
    <w:rsid w:val="00B671E4"/>
    <w:rsid w:val="00B7059B"/>
    <w:rsid w:val="00B70FA4"/>
    <w:rsid w:val="00B72C27"/>
    <w:rsid w:val="00B72F06"/>
    <w:rsid w:val="00B733A9"/>
    <w:rsid w:val="00B75206"/>
    <w:rsid w:val="00B75E30"/>
    <w:rsid w:val="00B75E3F"/>
    <w:rsid w:val="00B76837"/>
    <w:rsid w:val="00B77BA2"/>
    <w:rsid w:val="00B81606"/>
    <w:rsid w:val="00B8424F"/>
    <w:rsid w:val="00B8762B"/>
    <w:rsid w:val="00B90315"/>
    <w:rsid w:val="00B91EB4"/>
    <w:rsid w:val="00BA38D3"/>
    <w:rsid w:val="00BB086A"/>
    <w:rsid w:val="00BB1429"/>
    <w:rsid w:val="00BB77FE"/>
    <w:rsid w:val="00BB7B09"/>
    <w:rsid w:val="00BC22B5"/>
    <w:rsid w:val="00BC2512"/>
    <w:rsid w:val="00BC558E"/>
    <w:rsid w:val="00BD0E22"/>
    <w:rsid w:val="00BD3353"/>
    <w:rsid w:val="00BD342B"/>
    <w:rsid w:val="00BD5720"/>
    <w:rsid w:val="00BE0CB4"/>
    <w:rsid w:val="00BE0F1D"/>
    <w:rsid w:val="00BE5519"/>
    <w:rsid w:val="00BE6D3E"/>
    <w:rsid w:val="00BE6DA1"/>
    <w:rsid w:val="00BF0459"/>
    <w:rsid w:val="00BF1081"/>
    <w:rsid w:val="00BF1F48"/>
    <w:rsid w:val="00BF312F"/>
    <w:rsid w:val="00BF33F9"/>
    <w:rsid w:val="00BF52A1"/>
    <w:rsid w:val="00BF54E5"/>
    <w:rsid w:val="00BF67A2"/>
    <w:rsid w:val="00BF6AAC"/>
    <w:rsid w:val="00C00526"/>
    <w:rsid w:val="00C0132C"/>
    <w:rsid w:val="00C01934"/>
    <w:rsid w:val="00C01965"/>
    <w:rsid w:val="00C01A78"/>
    <w:rsid w:val="00C03185"/>
    <w:rsid w:val="00C03D05"/>
    <w:rsid w:val="00C059D5"/>
    <w:rsid w:val="00C061B4"/>
    <w:rsid w:val="00C116E1"/>
    <w:rsid w:val="00C118CF"/>
    <w:rsid w:val="00C20981"/>
    <w:rsid w:val="00C26650"/>
    <w:rsid w:val="00C27DC7"/>
    <w:rsid w:val="00C311E2"/>
    <w:rsid w:val="00C321D3"/>
    <w:rsid w:val="00C3320B"/>
    <w:rsid w:val="00C33F23"/>
    <w:rsid w:val="00C3515F"/>
    <w:rsid w:val="00C40EF1"/>
    <w:rsid w:val="00C50BF8"/>
    <w:rsid w:val="00C5424D"/>
    <w:rsid w:val="00C54DFF"/>
    <w:rsid w:val="00C556D5"/>
    <w:rsid w:val="00C57C88"/>
    <w:rsid w:val="00C62871"/>
    <w:rsid w:val="00C6290E"/>
    <w:rsid w:val="00C6319F"/>
    <w:rsid w:val="00C65A1B"/>
    <w:rsid w:val="00C70C18"/>
    <w:rsid w:val="00C75C52"/>
    <w:rsid w:val="00C83477"/>
    <w:rsid w:val="00C854EB"/>
    <w:rsid w:val="00C87F57"/>
    <w:rsid w:val="00C91658"/>
    <w:rsid w:val="00C92443"/>
    <w:rsid w:val="00C97FE4"/>
    <w:rsid w:val="00CA1715"/>
    <w:rsid w:val="00CA20A6"/>
    <w:rsid w:val="00CA4740"/>
    <w:rsid w:val="00CA49C1"/>
    <w:rsid w:val="00CA4BBF"/>
    <w:rsid w:val="00CA7327"/>
    <w:rsid w:val="00CB0331"/>
    <w:rsid w:val="00CB38F9"/>
    <w:rsid w:val="00CB5E36"/>
    <w:rsid w:val="00CC21C2"/>
    <w:rsid w:val="00CC5C23"/>
    <w:rsid w:val="00CD0223"/>
    <w:rsid w:val="00CD0DE8"/>
    <w:rsid w:val="00CD1EF8"/>
    <w:rsid w:val="00CD2304"/>
    <w:rsid w:val="00CD7056"/>
    <w:rsid w:val="00CF0FB6"/>
    <w:rsid w:val="00CF1BF3"/>
    <w:rsid w:val="00CF2810"/>
    <w:rsid w:val="00CF2894"/>
    <w:rsid w:val="00CF2E24"/>
    <w:rsid w:val="00CF30B0"/>
    <w:rsid w:val="00CF3CE5"/>
    <w:rsid w:val="00CF4347"/>
    <w:rsid w:val="00CF49D3"/>
    <w:rsid w:val="00CF5581"/>
    <w:rsid w:val="00CF6AC9"/>
    <w:rsid w:val="00CF6F92"/>
    <w:rsid w:val="00CF7068"/>
    <w:rsid w:val="00D021E6"/>
    <w:rsid w:val="00D02A72"/>
    <w:rsid w:val="00D02E0F"/>
    <w:rsid w:val="00D0350F"/>
    <w:rsid w:val="00D040C9"/>
    <w:rsid w:val="00D06B79"/>
    <w:rsid w:val="00D10B7A"/>
    <w:rsid w:val="00D11DD6"/>
    <w:rsid w:val="00D2005E"/>
    <w:rsid w:val="00D20233"/>
    <w:rsid w:val="00D21741"/>
    <w:rsid w:val="00D22175"/>
    <w:rsid w:val="00D262AB"/>
    <w:rsid w:val="00D26307"/>
    <w:rsid w:val="00D26D03"/>
    <w:rsid w:val="00D27C8A"/>
    <w:rsid w:val="00D303E0"/>
    <w:rsid w:val="00D312D7"/>
    <w:rsid w:val="00D355BC"/>
    <w:rsid w:val="00D403E0"/>
    <w:rsid w:val="00D408B8"/>
    <w:rsid w:val="00D429BB"/>
    <w:rsid w:val="00D437AF"/>
    <w:rsid w:val="00D43891"/>
    <w:rsid w:val="00D5361A"/>
    <w:rsid w:val="00D56E28"/>
    <w:rsid w:val="00D61B6C"/>
    <w:rsid w:val="00D62AAB"/>
    <w:rsid w:val="00D6736A"/>
    <w:rsid w:val="00D70B18"/>
    <w:rsid w:val="00D803DC"/>
    <w:rsid w:val="00D80C68"/>
    <w:rsid w:val="00D82B55"/>
    <w:rsid w:val="00D87103"/>
    <w:rsid w:val="00D91DFB"/>
    <w:rsid w:val="00D92DC4"/>
    <w:rsid w:val="00D93544"/>
    <w:rsid w:val="00D95C6D"/>
    <w:rsid w:val="00D96932"/>
    <w:rsid w:val="00DA04E1"/>
    <w:rsid w:val="00DA0C9C"/>
    <w:rsid w:val="00DA1F1C"/>
    <w:rsid w:val="00DA20C6"/>
    <w:rsid w:val="00DA3644"/>
    <w:rsid w:val="00DA51F8"/>
    <w:rsid w:val="00DA7FF1"/>
    <w:rsid w:val="00DB64D1"/>
    <w:rsid w:val="00DB663D"/>
    <w:rsid w:val="00DB6D49"/>
    <w:rsid w:val="00DC0845"/>
    <w:rsid w:val="00DC4119"/>
    <w:rsid w:val="00DC503C"/>
    <w:rsid w:val="00DC7467"/>
    <w:rsid w:val="00DD0415"/>
    <w:rsid w:val="00DE4B06"/>
    <w:rsid w:val="00DE60C7"/>
    <w:rsid w:val="00DE683C"/>
    <w:rsid w:val="00DE6F27"/>
    <w:rsid w:val="00DE7815"/>
    <w:rsid w:val="00DF2378"/>
    <w:rsid w:val="00E02FE6"/>
    <w:rsid w:val="00E03E80"/>
    <w:rsid w:val="00E11173"/>
    <w:rsid w:val="00E12469"/>
    <w:rsid w:val="00E13E97"/>
    <w:rsid w:val="00E15D96"/>
    <w:rsid w:val="00E16539"/>
    <w:rsid w:val="00E16EA3"/>
    <w:rsid w:val="00E2138A"/>
    <w:rsid w:val="00E23694"/>
    <w:rsid w:val="00E2566C"/>
    <w:rsid w:val="00E25941"/>
    <w:rsid w:val="00E259F7"/>
    <w:rsid w:val="00E27350"/>
    <w:rsid w:val="00E31327"/>
    <w:rsid w:val="00E3402D"/>
    <w:rsid w:val="00E35154"/>
    <w:rsid w:val="00E374DB"/>
    <w:rsid w:val="00E41221"/>
    <w:rsid w:val="00E4395D"/>
    <w:rsid w:val="00E43B6E"/>
    <w:rsid w:val="00E45BCF"/>
    <w:rsid w:val="00E46BEE"/>
    <w:rsid w:val="00E46FC7"/>
    <w:rsid w:val="00E50F75"/>
    <w:rsid w:val="00E54510"/>
    <w:rsid w:val="00E5513D"/>
    <w:rsid w:val="00E56964"/>
    <w:rsid w:val="00E61C58"/>
    <w:rsid w:val="00E63867"/>
    <w:rsid w:val="00E638CC"/>
    <w:rsid w:val="00E63A47"/>
    <w:rsid w:val="00E6540F"/>
    <w:rsid w:val="00E6573F"/>
    <w:rsid w:val="00E66459"/>
    <w:rsid w:val="00E674E4"/>
    <w:rsid w:val="00E71EF1"/>
    <w:rsid w:val="00E72A0B"/>
    <w:rsid w:val="00E747AC"/>
    <w:rsid w:val="00E75560"/>
    <w:rsid w:val="00E75E60"/>
    <w:rsid w:val="00E8380E"/>
    <w:rsid w:val="00E83C97"/>
    <w:rsid w:val="00E840E3"/>
    <w:rsid w:val="00E85A22"/>
    <w:rsid w:val="00E918C1"/>
    <w:rsid w:val="00EA070F"/>
    <w:rsid w:val="00EA285E"/>
    <w:rsid w:val="00EA3763"/>
    <w:rsid w:val="00EA59C2"/>
    <w:rsid w:val="00EA5CE7"/>
    <w:rsid w:val="00EA62AE"/>
    <w:rsid w:val="00EB159B"/>
    <w:rsid w:val="00EB28C1"/>
    <w:rsid w:val="00EB300F"/>
    <w:rsid w:val="00EB6F54"/>
    <w:rsid w:val="00EC1C8F"/>
    <w:rsid w:val="00EC48FD"/>
    <w:rsid w:val="00EC5F24"/>
    <w:rsid w:val="00EC6072"/>
    <w:rsid w:val="00EC6795"/>
    <w:rsid w:val="00ED19E4"/>
    <w:rsid w:val="00ED39A4"/>
    <w:rsid w:val="00ED5636"/>
    <w:rsid w:val="00ED6E30"/>
    <w:rsid w:val="00ED7E9A"/>
    <w:rsid w:val="00EE050F"/>
    <w:rsid w:val="00EE2850"/>
    <w:rsid w:val="00EE6CDF"/>
    <w:rsid w:val="00EE7046"/>
    <w:rsid w:val="00EF0B31"/>
    <w:rsid w:val="00EF3649"/>
    <w:rsid w:val="00EF3913"/>
    <w:rsid w:val="00EF5B61"/>
    <w:rsid w:val="00F038D6"/>
    <w:rsid w:val="00F0414E"/>
    <w:rsid w:val="00F06CE3"/>
    <w:rsid w:val="00F10BE3"/>
    <w:rsid w:val="00F13404"/>
    <w:rsid w:val="00F13778"/>
    <w:rsid w:val="00F1526F"/>
    <w:rsid w:val="00F17686"/>
    <w:rsid w:val="00F2133B"/>
    <w:rsid w:val="00F230A6"/>
    <w:rsid w:val="00F23C22"/>
    <w:rsid w:val="00F24EC4"/>
    <w:rsid w:val="00F25029"/>
    <w:rsid w:val="00F307DE"/>
    <w:rsid w:val="00F320B5"/>
    <w:rsid w:val="00F34D6F"/>
    <w:rsid w:val="00F360C7"/>
    <w:rsid w:val="00F36D91"/>
    <w:rsid w:val="00F42575"/>
    <w:rsid w:val="00F42BD0"/>
    <w:rsid w:val="00F43413"/>
    <w:rsid w:val="00F45A22"/>
    <w:rsid w:val="00F53707"/>
    <w:rsid w:val="00F54973"/>
    <w:rsid w:val="00F60AA9"/>
    <w:rsid w:val="00F66223"/>
    <w:rsid w:val="00F66EF5"/>
    <w:rsid w:val="00F6758F"/>
    <w:rsid w:val="00F67CBE"/>
    <w:rsid w:val="00F67DCE"/>
    <w:rsid w:val="00F711D8"/>
    <w:rsid w:val="00F7177E"/>
    <w:rsid w:val="00F742FC"/>
    <w:rsid w:val="00F76A64"/>
    <w:rsid w:val="00F77ABB"/>
    <w:rsid w:val="00F77FC6"/>
    <w:rsid w:val="00F831C7"/>
    <w:rsid w:val="00F83257"/>
    <w:rsid w:val="00F90BB1"/>
    <w:rsid w:val="00F915E0"/>
    <w:rsid w:val="00F94079"/>
    <w:rsid w:val="00FA16B3"/>
    <w:rsid w:val="00FA30F9"/>
    <w:rsid w:val="00FA370B"/>
    <w:rsid w:val="00FB11C9"/>
    <w:rsid w:val="00FB3764"/>
    <w:rsid w:val="00FB5B4D"/>
    <w:rsid w:val="00FC2589"/>
    <w:rsid w:val="00FC55F5"/>
    <w:rsid w:val="00FC7EC4"/>
    <w:rsid w:val="00FD22D0"/>
    <w:rsid w:val="00FD5098"/>
    <w:rsid w:val="00FD6AAF"/>
    <w:rsid w:val="00FD7344"/>
    <w:rsid w:val="00FE0262"/>
    <w:rsid w:val="00FE0574"/>
    <w:rsid w:val="00FE1536"/>
    <w:rsid w:val="00FE45A1"/>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9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6864">
      <w:bodyDiv w:val="1"/>
      <w:marLeft w:val="0"/>
      <w:marRight w:val="0"/>
      <w:marTop w:val="0"/>
      <w:marBottom w:val="0"/>
      <w:divBdr>
        <w:top w:val="none" w:sz="0" w:space="0" w:color="auto"/>
        <w:left w:val="none" w:sz="0" w:space="0" w:color="auto"/>
        <w:bottom w:val="none" w:sz="0" w:space="0" w:color="auto"/>
        <w:right w:val="none" w:sz="0" w:space="0" w:color="auto"/>
      </w:divBdr>
      <w:divsChild>
        <w:div w:id="1892689682">
          <w:marLeft w:val="0"/>
          <w:marRight w:val="0"/>
          <w:marTop w:val="0"/>
          <w:marBottom w:val="0"/>
          <w:divBdr>
            <w:top w:val="none" w:sz="0" w:space="0" w:color="auto"/>
            <w:left w:val="none" w:sz="0" w:space="0" w:color="auto"/>
            <w:bottom w:val="none" w:sz="0" w:space="0" w:color="auto"/>
            <w:right w:val="none" w:sz="0" w:space="0" w:color="auto"/>
          </w:divBdr>
        </w:div>
      </w:divsChild>
    </w:div>
    <w:div w:id="15742947">
      <w:bodyDiv w:val="1"/>
      <w:marLeft w:val="0"/>
      <w:marRight w:val="0"/>
      <w:marTop w:val="0"/>
      <w:marBottom w:val="0"/>
      <w:divBdr>
        <w:top w:val="none" w:sz="0" w:space="0" w:color="auto"/>
        <w:left w:val="none" w:sz="0" w:space="0" w:color="auto"/>
        <w:bottom w:val="none" w:sz="0" w:space="0" w:color="auto"/>
        <w:right w:val="none" w:sz="0" w:space="0" w:color="auto"/>
      </w:divBdr>
    </w:div>
    <w:div w:id="19551103">
      <w:bodyDiv w:val="1"/>
      <w:marLeft w:val="0"/>
      <w:marRight w:val="0"/>
      <w:marTop w:val="0"/>
      <w:marBottom w:val="0"/>
      <w:divBdr>
        <w:top w:val="none" w:sz="0" w:space="0" w:color="auto"/>
        <w:left w:val="none" w:sz="0" w:space="0" w:color="auto"/>
        <w:bottom w:val="none" w:sz="0" w:space="0" w:color="auto"/>
        <w:right w:val="none" w:sz="0" w:space="0" w:color="auto"/>
      </w:divBdr>
    </w:div>
    <w:div w:id="36899659">
      <w:bodyDiv w:val="1"/>
      <w:marLeft w:val="0"/>
      <w:marRight w:val="0"/>
      <w:marTop w:val="0"/>
      <w:marBottom w:val="0"/>
      <w:divBdr>
        <w:top w:val="none" w:sz="0" w:space="0" w:color="auto"/>
        <w:left w:val="none" w:sz="0" w:space="0" w:color="auto"/>
        <w:bottom w:val="none" w:sz="0" w:space="0" w:color="auto"/>
        <w:right w:val="none" w:sz="0" w:space="0" w:color="auto"/>
      </w:divBdr>
    </w:div>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05748">
      <w:bodyDiv w:val="1"/>
      <w:marLeft w:val="0"/>
      <w:marRight w:val="0"/>
      <w:marTop w:val="0"/>
      <w:marBottom w:val="0"/>
      <w:divBdr>
        <w:top w:val="none" w:sz="0" w:space="0" w:color="auto"/>
        <w:left w:val="none" w:sz="0" w:space="0" w:color="auto"/>
        <w:bottom w:val="none" w:sz="0" w:space="0" w:color="auto"/>
        <w:right w:val="none" w:sz="0" w:space="0" w:color="auto"/>
      </w:divBdr>
    </w:div>
    <w:div w:id="120418745">
      <w:bodyDiv w:val="1"/>
      <w:marLeft w:val="0"/>
      <w:marRight w:val="0"/>
      <w:marTop w:val="0"/>
      <w:marBottom w:val="0"/>
      <w:divBdr>
        <w:top w:val="none" w:sz="0" w:space="0" w:color="auto"/>
        <w:left w:val="none" w:sz="0" w:space="0" w:color="auto"/>
        <w:bottom w:val="none" w:sz="0" w:space="0" w:color="auto"/>
        <w:right w:val="none" w:sz="0" w:space="0" w:color="auto"/>
      </w:divBdr>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54956616">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95181">
      <w:bodyDiv w:val="1"/>
      <w:marLeft w:val="0"/>
      <w:marRight w:val="0"/>
      <w:marTop w:val="0"/>
      <w:marBottom w:val="0"/>
      <w:divBdr>
        <w:top w:val="none" w:sz="0" w:space="0" w:color="auto"/>
        <w:left w:val="none" w:sz="0" w:space="0" w:color="auto"/>
        <w:bottom w:val="none" w:sz="0" w:space="0" w:color="auto"/>
        <w:right w:val="none" w:sz="0" w:space="0" w:color="auto"/>
      </w:divBdr>
      <w:divsChild>
        <w:div w:id="704909907">
          <w:marLeft w:val="0"/>
          <w:marRight w:val="0"/>
          <w:marTop w:val="0"/>
          <w:marBottom w:val="0"/>
          <w:divBdr>
            <w:top w:val="none" w:sz="0" w:space="0" w:color="auto"/>
            <w:left w:val="none" w:sz="0" w:space="0" w:color="auto"/>
            <w:bottom w:val="none" w:sz="0" w:space="0" w:color="auto"/>
            <w:right w:val="none" w:sz="0" w:space="0" w:color="auto"/>
          </w:divBdr>
        </w:div>
      </w:divsChild>
    </w:div>
    <w:div w:id="211892602">
      <w:bodyDiv w:val="1"/>
      <w:marLeft w:val="0"/>
      <w:marRight w:val="0"/>
      <w:marTop w:val="0"/>
      <w:marBottom w:val="0"/>
      <w:divBdr>
        <w:top w:val="none" w:sz="0" w:space="0" w:color="auto"/>
        <w:left w:val="none" w:sz="0" w:space="0" w:color="auto"/>
        <w:bottom w:val="none" w:sz="0" w:space="0" w:color="auto"/>
        <w:right w:val="none" w:sz="0" w:space="0" w:color="auto"/>
      </w:divBdr>
    </w:div>
    <w:div w:id="220749769">
      <w:bodyDiv w:val="1"/>
      <w:marLeft w:val="0"/>
      <w:marRight w:val="0"/>
      <w:marTop w:val="0"/>
      <w:marBottom w:val="0"/>
      <w:divBdr>
        <w:top w:val="none" w:sz="0" w:space="0" w:color="auto"/>
        <w:left w:val="none" w:sz="0" w:space="0" w:color="auto"/>
        <w:bottom w:val="none" w:sz="0" w:space="0" w:color="auto"/>
        <w:right w:val="none" w:sz="0" w:space="0" w:color="auto"/>
      </w:divBdr>
    </w:div>
    <w:div w:id="236210138">
      <w:bodyDiv w:val="1"/>
      <w:marLeft w:val="0"/>
      <w:marRight w:val="0"/>
      <w:marTop w:val="0"/>
      <w:marBottom w:val="0"/>
      <w:divBdr>
        <w:top w:val="none" w:sz="0" w:space="0" w:color="auto"/>
        <w:left w:val="none" w:sz="0" w:space="0" w:color="auto"/>
        <w:bottom w:val="none" w:sz="0" w:space="0" w:color="auto"/>
        <w:right w:val="none" w:sz="0" w:space="0" w:color="auto"/>
      </w:divBdr>
    </w:div>
    <w:div w:id="252056028">
      <w:bodyDiv w:val="1"/>
      <w:marLeft w:val="0"/>
      <w:marRight w:val="0"/>
      <w:marTop w:val="0"/>
      <w:marBottom w:val="0"/>
      <w:divBdr>
        <w:top w:val="none" w:sz="0" w:space="0" w:color="auto"/>
        <w:left w:val="none" w:sz="0" w:space="0" w:color="auto"/>
        <w:bottom w:val="none" w:sz="0" w:space="0" w:color="auto"/>
        <w:right w:val="none" w:sz="0" w:space="0" w:color="auto"/>
      </w:divBdr>
    </w:div>
    <w:div w:id="313873877">
      <w:bodyDiv w:val="1"/>
      <w:marLeft w:val="0"/>
      <w:marRight w:val="0"/>
      <w:marTop w:val="0"/>
      <w:marBottom w:val="0"/>
      <w:divBdr>
        <w:top w:val="none" w:sz="0" w:space="0" w:color="auto"/>
        <w:left w:val="none" w:sz="0" w:space="0" w:color="auto"/>
        <w:bottom w:val="none" w:sz="0" w:space="0" w:color="auto"/>
        <w:right w:val="none" w:sz="0" w:space="0" w:color="auto"/>
      </w:divBdr>
    </w:div>
    <w:div w:id="364716217">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8967822">
      <w:bodyDiv w:val="1"/>
      <w:marLeft w:val="0"/>
      <w:marRight w:val="0"/>
      <w:marTop w:val="0"/>
      <w:marBottom w:val="0"/>
      <w:divBdr>
        <w:top w:val="none" w:sz="0" w:space="0" w:color="auto"/>
        <w:left w:val="none" w:sz="0" w:space="0" w:color="auto"/>
        <w:bottom w:val="none" w:sz="0" w:space="0" w:color="auto"/>
        <w:right w:val="none" w:sz="0" w:space="0" w:color="auto"/>
      </w:divBdr>
      <w:divsChild>
        <w:div w:id="1801797176">
          <w:marLeft w:val="0"/>
          <w:marRight w:val="0"/>
          <w:marTop w:val="0"/>
          <w:marBottom w:val="0"/>
          <w:divBdr>
            <w:top w:val="none" w:sz="0" w:space="0" w:color="auto"/>
            <w:left w:val="none" w:sz="0" w:space="0" w:color="auto"/>
            <w:bottom w:val="none" w:sz="0" w:space="0" w:color="auto"/>
            <w:right w:val="none" w:sz="0" w:space="0" w:color="auto"/>
          </w:divBdr>
        </w:div>
      </w:divsChild>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88388">
      <w:bodyDiv w:val="1"/>
      <w:marLeft w:val="0"/>
      <w:marRight w:val="0"/>
      <w:marTop w:val="0"/>
      <w:marBottom w:val="0"/>
      <w:divBdr>
        <w:top w:val="none" w:sz="0" w:space="0" w:color="auto"/>
        <w:left w:val="none" w:sz="0" w:space="0" w:color="auto"/>
        <w:bottom w:val="none" w:sz="0" w:space="0" w:color="auto"/>
        <w:right w:val="none" w:sz="0" w:space="0" w:color="auto"/>
      </w:divBdr>
    </w:div>
    <w:div w:id="399445077">
      <w:bodyDiv w:val="1"/>
      <w:marLeft w:val="0"/>
      <w:marRight w:val="0"/>
      <w:marTop w:val="0"/>
      <w:marBottom w:val="0"/>
      <w:divBdr>
        <w:top w:val="none" w:sz="0" w:space="0" w:color="auto"/>
        <w:left w:val="none" w:sz="0" w:space="0" w:color="auto"/>
        <w:bottom w:val="none" w:sz="0" w:space="0" w:color="auto"/>
        <w:right w:val="none" w:sz="0" w:space="0" w:color="auto"/>
      </w:divBdr>
    </w:div>
    <w:div w:id="405079153">
      <w:bodyDiv w:val="1"/>
      <w:marLeft w:val="0"/>
      <w:marRight w:val="0"/>
      <w:marTop w:val="0"/>
      <w:marBottom w:val="0"/>
      <w:divBdr>
        <w:top w:val="none" w:sz="0" w:space="0" w:color="auto"/>
        <w:left w:val="none" w:sz="0" w:space="0" w:color="auto"/>
        <w:bottom w:val="none" w:sz="0" w:space="0" w:color="auto"/>
        <w:right w:val="none" w:sz="0" w:space="0" w:color="auto"/>
      </w:divBdr>
    </w:div>
    <w:div w:id="425345215">
      <w:bodyDiv w:val="1"/>
      <w:marLeft w:val="0"/>
      <w:marRight w:val="0"/>
      <w:marTop w:val="0"/>
      <w:marBottom w:val="0"/>
      <w:divBdr>
        <w:top w:val="none" w:sz="0" w:space="0" w:color="auto"/>
        <w:left w:val="none" w:sz="0" w:space="0" w:color="auto"/>
        <w:bottom w:val="none" w:sz="0" w:space="0" w:color="auto"/>
        <w:right w:val="none" w:sz="0" w:space="0" w:color="auto"/>
      </w:divBdr>
      <w:divsChild>
        <w:div w:id="205066442">
          <w:marLeft w:val="0"/>
          <w:marRight w:val="0"/>
          <w:marTop w:val="0"/>
          <w:marBottom w:val="0"/>
          <w:divBdr>
            <w:top w:val="none" w:sz="0" w:space="0" w:color="auto"/>
            <w:left w:val="none" w:sz="0" w:space="0" w:color="auto"/>
            <w:bottom w:val="none" w:sz="0" w:space="0" w:color="auto"/>
            <w:right w:val="none" w:sz="0" w:space="0" w:color="auto"/>
          </w:divBdr>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227164">
      <w:bodyDiv w:val="1"/>
      <w:marLeft w:val="0"/>
      <w:marRight w:val="0"/>
      <w:marTop w:val="0"/>
      <w:marBottom w:val="0"/>
      <w:divBdr>
        <w:top w:val="none" w:sz="0" w:space="0" w:color="auto"/>
        <w:left w:val="none" w:sz="0" w:space="0" w:color="auto"/>
        <w:bottom w:val="none" w:sz="0" w:space="0" w:color="auto"/>
        <w:right w:val="none" w:sz="0" w:space="0" w:color="auto"/>
      </w:divBdr>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19859292">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51112815">
      <w:bodyDiv w:val="1"/>
      <w:marLeft w:val="0"/>
      <w:marRight w:val="0"/>
      <w:marTop w:val="0"/>
      <w:marBottom w:val="0"/>
      <w:divBdr>
        <w:top w:val="none" w:sz="0" w:space="0" w:color="auto"/>
        <w:left w:val="none" w:sz="0" w:space="0" w:color="auto"/>
        <w:bottom w:val="none" w:sz="0" w:space="0" w:color="auto"/>
        <w:right w:val="none" w:sz="0" w:space="0" w:color="auto"/>
      </w:divBdr>
    </w:div>
    <w:div w:id="563180645">
      <w:bodyDiv w:val="1"/>
      <w:marLeft w:val="0"/>
      <w:marRight w:val="0"/>
      <w:marTop w:val="0"/>
      <w:marBottom w:val="0"/>
      <w:divBdr>
        <w:top w:val="none" w:sz="0" w:space="0" w:color="auto"/>
        <w:left w:val="none" w:sz="0" w:space="0" w:color="auto"/>
        <w:bottom w:val="none" w:sz="0" w:space="0" w:color="auto"/>
        <w:right w:val="none" w:sz="0" w:space="0" w:color="auto"/>
      </w:divBdr>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571157925">
      <w:bodyDiv w:val="1"/>
      <w:marLeft w:val="0"/>
      <w:marRight w:val="0"/>
      <w:marTop w:val="0"/>
      <w:marBottom w:val="0"/>
      <w:divBdr>
        <w:top w:val="none" w:sz="0" w:space="0" w:color="auto"/>
        <w:left w:val="none" w:sz="0" w:space="0" w:color="auto"/>
        <w:bottom w:val="none" w:sz="0" w:space="0" w:color="auto"/>
        <w:right w:val="none" w:sz="0" w:space="0" w:color="auto"/>
      </w:divBdr>
      <w:divsChild>
        <w:div w:id="1559319889">
          <w:marLeft w:val="0"/>
          <w:marRight w:val="0"/>
          <w:marTop w:val="0"/>
          <w:marBottom w:val="0"/>
          <w:divBdr>
            <w:top w:val="none" w:sz="0" w:space="0" w:color="auto"/>
            <w:left w:val="none" w:sz="0" w:space="0" w:color="auto"/>
            <w:bottom w:val="none" w:sz="0" w:space="0" w:color="auto"/>
            <w:right w:val="none" w:sz="0" w:space="0" w:color="auto"/>
          </w:divBdr>
        </w:div>
      </w:divsChild>
    </w:div>
    <w:div w:id="624040729">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49547587">
      <w:bodyDiv w:val="1"/>
      <w:marLeft w:val="0"/>
      <w:marRight w:val="0"/>
      <w:marTop w:val="0"/>
      <w:marBottom w:val="0"/>
      <w:divBdr>
        <w:top w:val="none" w:sz="0" w:space="0" w:color="auto"/>
        <w:left w:val="none" w:sz="0" w:space="0" w:color="auto"/>
        <w:bottom w:val="none" w:sz="0" w:space="0" w:color="auto"/>
        <w:right w:val="none" w:sz="0" w:space="0" w:color="auto"/>
      </w:divBdr>
    </w:div>
    <w:div w:id="759371266">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1144427">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788282312">
      <w:bodyDiv w:val="1"/>
      <w:marLeft w:val="0"/>
      <w:marRight w:val="0"/>
      <w:marTop w:val="0"/>
      <w:marBottom w:val="0"/>
      <w:divBdr>
        <w:top w:val="none" w:sz="0" w:space="0" w:color="auto"/>
        <w:left w:val="none" w:sz="0" w:space="0" w:color="auto"/>
        <w:bottom w:val="none" w:sz="0" w:space="0" w:color="auto"/>
        <w:right w:val="none" w:sz="0" w:space="0" w:color="auto"/>
      </w:divBdr>
      <w:divsChild>
        <w:div w:id="271475910">
          <w:marLeft w:val="0"/>
          <w:marRight w:val="0"/>
          <w:marTop w:val="0"/>
          <w:marBottom w:val="0"/>
          <w:divBdr>
            <w:top w:val="none" w:sz="0" w:space="0" w:color="auto"/>
            <w:left w:val="none" w:sz="0" w:space="0" w:color="auto"/>
            <w:bottom w:val="none" w:sz="0" w:space="0" w:color="auto"/>
            <w:right w:val="none" w:sz="0" w:space="0" w:color="auto"/>
          </w:divBdr>
        </w:div>
      </w:divsChild>
    </w:div>
    <w:div w:id="796797428">
      <w:bodyDiv w:val="1"/>
      <w:marLeft w:val="0"/>
      <w:marRight w:val="0"/>
      <w:marTop w:val="0"/>
      <w:marBottom w:val="0"/>
      <w:divBdr>
        <w:top w:val="none" w:sz="0" w:space="0" w:color="auto"/>
        <w:left w:val="none" w:sz="0" w:space="0" w:color="auto"/>
        <w:bottom w:val="none" w:sz="0" w:space="0" w:color="auto"/>
        <w:right w:val="none" w:sz="0" w:space="0" w:color="auto"/>
      </w:divBdr>
    </w:div>
    <w:div w:id="828711700">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6385">
      <w:bodyDiv w:val="1"/>
      <w:marLeft w:val="0"/>
      <w:marRight w:val="0"/>
      <w:marTop w:val="0"/>
      <w:marBottom w:val="0"/>
      <w:divBdr>
        <w:top w:val="none" w:sz="0" w:space="0" w:color="auto"/>
        <w:left w:val="none" w:sz="0" w:space="0" w:color="auto"/>
        <w:bottom w:val="none" w:sz="0" w:space="0" w:color="auto"/>
        <w:right w:val="none" w:sz="0" w:space="0" w:color="auto"/>
      </w:divBdr>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35690981">
      <w:bodyDiv w:val="1"/>
      <w:marLeft w:val="0"/>
      <w:marRight w:val="0"/>
      <w:marTop w:val="0"/>
      <w:marBottom w:val="0"/>
      <w:divBdr>
        <w:top w:val="none" w:sz="0" w:space="0" w:color="auto"/>
        <w:left w:val="none" w:sz="0" w:space="0" w:color="auto"/>
        <w:bottom w:val="none" w:sz="0" w:space="0" w:color="auto"/>
        <w:right w:val="none" w:sz="0" w:space="0" w:color="auto"/>
      </w:divBdr>
    </w:div>
    <w:div w:id="1049837812">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612255">
      <w:bodyDiv w:val="1"/>
      <w:marLeft w:val="0"/>
      <w:marRight w:val="0"/>
      <w:marTop w:val="0"/>
      <w:marBottom w:val="0"/>
      <w:divBdr>
        <w:top w:val="none" w:sz="0" w:space="0" w:color="auto"/>
        <w:left w:val="none" w:sz="0" w:space="0" w:color="auto"/>
        <w:bottom w:val="none" w:sz="0" w:space="0" w:color="auto"/>
        <w:right w:val="none" w:sz="0" w:space="0" w:color="auto"/>
      </w:divBdr>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07772339">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272562">
      <w:bodyDiv w:val="1"/>
      <w:marLeft w:val="0"/>
      <w:marRight w:val="0"/>
      <w:marTop w:val="0"/>
      <w:marBottom w:val="0"/>
      <w:divBdr>
        <w:top w:val="none" w:sz="0" w:space="0" w:color="auto"/>
        <w:left w:val="none" w:sz="0" w:space="0" w:color="auto"/>
        <w:bottom w:val="none" w:sz="0" w:space="0" w:color="auto"/>
        <w:right w:val="none" w:sz="0" w:space="0" w:color="auto"/>
      </w:divBdr>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180194256">
      <w:bodyDiv w:val="1"/>
      <w:marLeft w:val="0"/>
      <w:marRight w:val="0"/>
      <w:marTop w:val="0"/>
      <w:marBottom w:val="0"/>
      <w:divBdr>
        <w:top w:val="none" w:sz="0" w:space="0" w:color="auto"/>
        <w:left w:val="none" w:sz="0" w:space="0" w:color="auto"/>
        <w:bottom w:val="none" w:sz="0" w:space="0" w:color="auto"/>
        <w:right w:val="none" w:sz="0" w:space="0" w:color="auto"/>
      </w:divBdr>
    </w:div>
    <w:div w:id="1267663862">
      <w:bodyDiv w:val="1"/>
      <w:marLeft w:val="0"/>
      <w:marRight w:val="0"/>
      <w:marTop w:val="0"/>
      <w:marBottom w:val="0"/>
      <w:divBdr>
        <w:top w:val="none" w:sz="0" w:space="0" w:color="auto"/>
        <w:left w:val="none" w:sz="0" w:space="0" w:color="auto"/>
        <w:bottom w:val="none" w:sz="0" w:space="0" w:color="auto"/>
        <w:right w:val="none" w:sz="0" w:space="0" w:color="auto"/>
      </w:divBdr>
    </w:div>
    <w:div w:id="1270970559">
      <w:bodyDiv w:val="1"/>
      <w:marLeft w:val="0"/>
      <w:marRight w:val="0"/>
      <w:marTop w:val="0"/>
      <w:marBottom w:val="0"/>
      <w:divBdr>
        <w:top w:val="none" w:sz="0" w:space="0" w:color="auto"/>
        <w:left w:val="none" w:sz="0" w:space="0" w:color="auto"/>
        <w:bottom w:val="none" w:sz="0" w:space="0" w:color="auto"/>
        <w:right w:val="none" w:sz="0" w:space="0" w:color="auto"/>
      </w:divBdr>
    </w:div>
    <w:div w:id="1279141891">
      <w:bodyDiv w:val="1"/>
      <w:marLeft w:val="0"/>
      <w:marRight w:val="0"/>
      <w:marTop w:val="0"/>
      <w:marBottom w:val="0"/>
      <w:divBdr>
        <w:top w:val="none" w:sz="0" w:space="0" w:color="auto"/>
        <w:left w:val="none" w:sz="0" w:space="0" w:color="auto"/>
        <w:bottom w:val="none" w:sz="0" w:space="0" w:color="auto"/>
        <w:right w:val="none" w:sz="0" w:space="0" w:color="auto"/>
      </w:divBdr>
    </w:div>
    <w:div w:id="1298683664">
      <w:bodyDiv w:val="1"/>
      <w:marLeft w:val="0"/>
      <w:marRight w:val="0"/>
      <w:marTop w:val="0"/>
      <w:marBottom w:val="0"/>
      <w:divBdr>
        <w:top w:val="none" w:sz="0" w:space="0" w:color="auto"/>
        <w:left w:val="none" w:sz="0" w:space="0" w:color="auto"/>
        <w:bottom w:val="none" w:sz="0" w:space="0" w:color="auto"/>
        <w:right w:val="none" w:sz="0" w:space="0" w:color="auto"/>
      </w:divBdr>
      <w:divsChild>
        <w:div w:id="386952345">
          <w:marLeft w:val="0"/>
          <w:marRight w:val="0"/>
          <w:marTop w:val="0"/>
          <w:marBottom w:val="0"/>
          <w:divBdr>
            <w:top w:val="none" w:sz="0" w:space="0" w:color="auto"/>
            <w:left w:val="none" w:sz="0" w:space="0" w:color="auto"/>
            <w:bottom w:val="none" w:sz="0" w:space="0" w:color="auto"/>
            <w:right w:val="none" w:sz="0" w:space="0" w:color="auto"/>
          </w:divBdr>
        </w:div>
      </w:divsChild>
    </w:div>
    <w:div w:id="1347290254">
      <w:bodyDiv w:val="1"/>
      <w:marLeft w:val="0"/>
      <w:marRight w:val="0"/>
      <w:marTop w:val="0"/>
      <w:marBottom w:val="0"/>
      <w:divBdr>
        <w:top w:val="none" w:sz="0" w:space="0" w:color="auto"/>
        <w:left w:val="none" w:sz="0" w:space="0" w:color="auto"/>
        <w:bottom w:val="none" w:sz="0" w:space="0" w:color="auto"/>
        <w:right w:val="none" w:sz="0" w:space="0" w:color="auto"/>
      </w:divBdr>
      <w:divsChild>
        <w:div w:id="277880272">
          <w:marLeft w:val="0"/>
          <w:marRight w:val="0"/>
          <w:marTop w:val="0"/>
          <w:marBottom w:val="0"/>
          <w:divBdr>
            <w:top w:val="none" w:sz="0" w:space="0" w:color="auto"/>
            <w:left w:val="none" w:sz="0" w:space="0" w:color="auto"/>
            <w:bottom w:val="none" w:sz="0" w:space="0" w:color="auto"/>
            <w:right w:val="none" w:sz="0" w:space="0" w:color="auto"/>
          </w:divBdr>
        </w:div>
      </w:divsChild>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382825564">
      <w:bodyDiv w:val="1"/>
      <w:marLeft w:val="0"/>
      <w:marRight w:val="0"/>
      <w:marTop w:val="0"/>
      <w:marBottom w:val="0"/>
      <w:divBdr>
        <w:top w:val="none" w:sz="0" w:space="0" w:color="auto"/>
        <w:left w:val="none" w:sz="0" w:space="0" w:color="auto"/>
        <w:bottom w:val="none" w:sz="0" w:space="0" w:color="auto"/>
        <w:right w:val="none" w:sz="0" w:space="0" w:color="auto"/>
      </w:divBdr>
    </w:div>
    <w:div w:id="1390231607">
      <w:bodyDiv w:val="1"/>
      <w:marLeft w:val="0"/>
      <w:marRight w:val="0"/>
      <w:marTop w:val="0"/>
      <w:marBottom w:val="0"/>
      <w:divBdr>
        <w:top w:val="none" w:sz="0" w:space="0" w:color="auto"/>
        <w:left w:val="none" w:sz="0" w:space="0" w:color="auto"/>
        <w:bottom w:val="none" w:sz="0" w:space="0" w:color="auto"/>
        <w:right w:val="none" w:sz="0" w:space="0" w:color="auto"/>
      </w:divBdr>
      <w:divsChild>
        <w:div w:id="635568534">
          <w:marLeft w:val="0"/>
          <w:marRight w:val="0"/>
          <w:marTop w:val="0"/>
          <w:marBottom w:val="0"/>
          <w:divBdr>
            <w:top w:val="none" w:sz="0" w:space="0" w:color="auto"/>
            <w:left w:val="none" w:sz="0" w:space="0" w:color="auto"/>
            <w:bottom w:val="none" w:sz="0" w:space="0" w:color="auto"/>
            <w:right w:val="none" w:sz="0" w:space="0" w:color="auto"/>
          </w:divBdr>
        </w:div>
      </w:divsChild>
    </w:div>
    <w:div w:id="1392732371">
      <w:bodyDiv w:val="1"/>
      <w:marLeft w:val="0"/>
      <w:marRight w:val="0"/>
      <w:marTop w:val="0"/>
      <w:marBottom w:val="0"/>
      <w:divBdr>
        <w:top w:val="none" w:sz="0" w:space="0" w:color="auto"/>
        <w:left w:val="none" w:sz="0" w:space="0" w:color="auto"/>
        <w:bottom w:val="none" w:sz="0" w:space="0" w:color="auto"/>
        <w:right w:val="none" w:sz="0" w:space="0" w:color="auto"/>
      </w:divBdr>
    </w:div>
    <w:div w:id="1425373688">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54013702">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492673149">
      <w:bodyDiv w:val="1"/>
      <w:marLeft w:val="0"/>
      <w:marRight w:val="0"/>
      <w:marTop w:val="0"/>
      <w:marBottom w:val="0"/>
      <w:divBdr>
        <w:top w:val="none" w:sz="0" w:space="0" w:color="auto"/>
        <w:left w:val="none" w:sz="0" w:space="0" w:color="auto"/>
        <w:bottom w:val="none" w:sz="0" w:space="0" w:color="auto"/>
        <w:right w:val="none" w:sz="0" w:space="0" w:color="auto"/>
      </w:divBdr>
    </w:div>
    <w:div w:id="1506092096">
      <w:bodyDiv w:val="1"/>
      <w:marLeft w:val="0"/>
      <w:marRight w:val="0"/>
      <w:marTop w:val="0"/>
      <w:marBottom w:val="0"/>
      <w:divBdr>
        <w:top w:val="none" w:sz="0" w:space="0" w:color="auto"/>
        <w:left w:val="none" w:sz="0" w:space="0" w:color="auto"/>
        <w:bottom w:val="none" w:sz="0" w:space="0" w:color="auto"/>
        <w:right w:val="none" w:sz="0" w:space="0" w:color="auto"/>
      </w:divBdr>
      <w:divsChild>
        <w:div w:id="24797707">
          <w:marLeft w:val="0"/>
          <w:marRight w:val="0"/>
          <w:marTop w:val="0"/>
          <w:marBottom w:val="0"/>
          <w:divBdr>
            <w:top w:val="none" w:sz="0" w:space="0" w:color="auto"/>
            <w:left w:val="none" w:sz="0" w:space="0" w:color="auto"/>
            <w:bottom w:val="none" w:sz="0" w:space="0" w:color="auto"/>
            <w:right w:val="none" w:sz="0" w:space="0" w:color="auto"/>
          </w:divBdr>
        </w:div>
      </w:divsChild>
    </w:div>
    <w:div w:id="1511262157">
      <w:bodyDiv w:val="1"/>
      <w:marLeft w:val="0"/>
      <w:marRight w:val="0"/>
      <w:marTop w:val="0"/>
      <w:marBottom w:val="0"/>
      <w:divBdr>
        <w:top w:val="none" w:sz="0" w:space="0" w:color="auto"/>
        <w:left w:val="none" w:sz="0" w:space="0" w:color="auto"/>
        <w:bottom w:val="none" w:sz="0" w:space="0" w:color="auto"/>
        <w:right w:val="none" w:sz="0" w:space="0" w:color="auto"/>
      </w:divBdr>
    </w:div>
    <w:div w:id="1534883218">
      <w:bodyDiv w:val="1"/>
      <w:marLeft w:val="0"/>
      <w:marRight w:val="0"/>
      <w:marTop w:val="0"/>
      <w:marBottom w:val="0"/>
      <w:divBdr>
        <w:top w:val="none" w:sz="0" w:space="0" w:color="auto"/>
        <w:left w:val="none" w:sz="0" w:space="0" w:color="auto"/>
        <w:bottom w:val="none" w:sz="0" w:space="0" w:color="auto"/>
        <w:right w:val="none" w:sz="0" w:space="0" w:color="auto"/>
      </w:divBdr>
    </w:div>
    <w:div w:id="1563515898">
      <w:bodyDiv w:val="1"/>
      <w:marLeft w:val="0"/>
      <w:marRight w:val="0"/>
      <w:marTop w:val="0"/>
      <w:marBottom w:val="0"/>
      <w:divBdr>
        <w:top w:val="none" w:sz="0" w:space="0" w:color="auto"/>
        <w:left w:val="none" w:sz="0" w:space="0" w:color="auto"/>
        <w:bottom w:val="none" w:sz="0" w:space="0" w:color="auto"/>
        <w:right w:val="none" w:sz="0" w:space="0" w:color="auto"/>
      </w:divBdr>
    </w:div>
    <w:div w:id="1567454921">
      <w:bodyDiv w:val="1"/>
      <w:marLeft w:val="0"/>
      <w:marRight w:val="0"/>
      <w:marTop w:val="0"/>
      <w:marBottom w:val="0"/>
      <w:divBdr>
        <w:top w:val="none" w:sz="0" w:space="0" w:color="auto"/>
        <w:left w:val="none" w:sz="0" w:space="0" w:color="auto"/>
        <w:bottom w:val="none" w:sz="0" w:space="0" w:color="auto"/>
        <w:right w:val="none" w:sz="0" w:space="0" w:color="auto"/>
      </w:divBdr>
    </w:div>
    <w:div w:id="1578438422">
      <w:bodyDiv w:val="1"/>
      <w:marLeft w:val="0"/>
      <w:marRight w:val="0"/>
      <w:marTop w:val="0"/>
      <w:marBottom w:val="0"/>
      <w:divBdr>
        <w:top w:val="none" w:sz="0" w:space="0" w:color="auto"/>
        <w:left w:val="none" w:sz="0" w:space="0" w:color="auto"/>
        <w:bottom w:val="none" w:sz="0" w:space="0" w:color="auto"/>
        <w:right w:val="none" w:sz="0" w:space="0" w:color="auto"/>
      </w:divBdr>
    </w:div>
    <w:div w:id="1583448063">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02643833">
      <w:bodyDiv w:val="1"/>
      <w:marLeft w:val="0"/>
      <w:marRight w:val="0"/>
      <w:marTop w:val="0"/>
      <w:marBottom w:val="0"/>
      <w:divBdr>
        <w:top w:val="none" w:sz="0" w:space="0" w:color="auto"/>
        <w:left w:val="none" w:sz="0" w:space="0" w:color="auto"/>
        <w:bottom w:val="none" w:sz="0" w:space="0" w:color="auto"/>
        <w:right w:val="none" w:sz="0" w:space="0" w:color="auto"/>
      </w:divBdr>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1594263">
      <w:bodyDiv w:val="1"/>
      <w:marLeft w:val="0"/>
      <w:marRight w:val="0"/>
      <w:marTop w:val="0"/>
      <w:marBottom w:val="0"/>
      <w:divBdr>
        <w:top w:val="none" w:sz="0" w:space="0" w:color="auto"/>
        <w:left w:val="none" w:sz="0" w:space="0" w:color="auto"/>
        <w:bottom w:val="none" w:sz="0" w:space="0" w:color="auto"/>
        <w:right w:val="none" w:sz="0" w:space="0" w:color="auto"/>
      </w:divBdr>
      <w:divsChild>
        <w:div w:id="863515837">
          <w:marLeft w:val="0"/>
          <w:marRight w:val="0"/>
          <w:marTop w:val="0"/>
          <w:marBottom w:val="0"/>
          <w:divBdr>
            <w:top w:val="none" w:sz="0" w:space="0" w:color="auto"/>
            <w:left w:val="none" w:sz="0" w:space="0" w:color="auto"/>
            <w:bottom w:val="none" w:sz="0" w:space="0" w:color="auto"/>
            <w:right w:val="none" w:sz="0" w:space="0" w:color="auto"/>
          </w:divBdr>
        </w:div>
      </w:divsChild>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1225791">
      <w:bodyDiv w:val="1"/>
      <w:marLeft w:val="0"/>
      <w:marRight w:val="0"/>
      <w:marTop w:val="0"/>
      <w:marBottom w:val="0"/>
      <w:divBdr>
        <w:top w:val="none" w:sz="0" w:space="0" w:color="auto"/>
        <w:left w:val="none" w:sz="0" w:space="0" w:color="auto"/>
        <w:bottom w:val="none" w:sz="0" w:space="0" w:color="auto"/>
        <w:right w:val="none" w:sz="0" w:space="0" w:color="auto"/>
      </w:divBdr>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557586">
      <w:bodyDiv w:val="1"/>
      <w:marLeft w:val="0"/>
      <w:marRight w:val="0"/>
      <w:marTop w:val="0"/>
      <w:marBottom w:val="0"/>
      <w:divBdr>
        <w:top w:val="none" w:sz="0" w:space="0" w:color="auto"/>
        <w:left w:val="none" w:sz="0" w:space="0" w:color="auto"/>
        <w:bottom w:val="none" w:sz="0" w:space="0" w:color="auto"/>
        <w:right w:val="none" w:sz="0" w:space="0" w:color="auto"/>
      </w:divBdr>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582916">
      <w:bodyDiv w:val="1"/>
      <w:marLeft w:val="0"/>
      <w:marRight w:val="0"/>
      <w:marTop w:val="0"/>
      <w:marBottom w:val="0"/>
      <w:divBdr>
        <w:top w:val="none" w:sz="0" w:space="0" w:color="auto"/>
        <w:left w:val="none" w:sz="0" w:space="0" w:color="auto"/>
        <w:bottom w:val="none" w:sz="0" w:space="0" w:color="auto"/>
        <w:right w:val="none" w:sz="0" w:space="0" w:color="auto"/>
      </w:divBdr>
      <w:divsChild>
        <w:div w:id="1245992345">
          <w:marLeft w:val="0"/>
          <w:marRight w:val="0"/>
          <w:marTop w:val="0"/>
          <w:marBottom w:val="0"/>
          <w:divBdr>
            <w:top w:val="none" w:sz="0" w:space="0" w:color="auto"/>
            <w:left w:val="none" w:sz="0" w:space="0" w:color="auto"/>
            <w:bottom w:val="none" w:sz="0" w:space="0" w:color="auto"/>
            <w:right w:val="none" w:sz="0" w:space="0" w:color="auto"/>
          </w:divBdr>
        </w:div>
      </w:divsChild>
    </w:div>
    <w:div w:id="1756971123">
      <w:bodyDiv w:val="1"/>
      <w:marLeft w:val="0"/>
      <w:marRight w:val="0"/>
      <w:marTop w:val="0"/>
      <w:marBottom w:val="0"/>
      <w:divBdr>
        <w:top w:val="none" w:sz="0" w:space="0" w:color="auto"/>
        <w:left w:val="none" w:sz="0" w:space="0" w:color="auto"/>
        <w:bottom w:val="none" w:sz="0" w:space="0" w:color="auto"/>
        <w:right w:val="none" w:sz="0" w:space="0" w:color="auto"/>
      </w:divBdr>
      <w:divsChild>
        <w:div w:id="1434126032">
          <w:marLeft w:val="0"/>
          <w:marRight w:val="0"/>
          <w:marTop w:val="0"/>
          <w:marBottom w:val="0"/>
          <w:divBdr>
            <w:top w:val="none" w:sz="0" w:space="0" w:color="auto"/>
            <w:left w:val="none" w:sz="0" w:space="0" w:color="auto"/>
            <w:bottom w:val="none" w:sz="0" w:space="0" w:color="auto"/>
            <w:right w:val="none" w:sz="0" w:space="0" w:color="auto"/>
          </w:divBdr>
        </w:div>
      </w:divsChild>
    </w:div>
    <w:div w:id="1761871046">
      <w:bodyDiv w:val="1"/>
      <w:marLeft w:val="0"/>
      <w:marRight w:val="0"/>
      <w:marTop w:val="0"/>
      <w:marBottom w:val="0"/>
      <w:divBdr>
        <w:top w:val="none" w:sz="0" w:space="0" w:color="auto"/>
        <w:left w:val="none" w:sz="0" w:space="0" w:color="auto"/>
        <w:bottom w:val="none" w:sz="0" w:space="0" w:color="auto"/>
        <w:right w:val="none" w:sz="0" w:space="0" w:color="auto"/>
      </w:divBdr>
    </w:div>
    <w:div w:id="1780220438">
      <w:bodyDiv w:val="1"/>
      <w:marLeft w:val="0"/>
      <w:marRight w:val="0"/>
      <w:marTop w:val="0"/>
      <w:marBottom w:val="0"/>
      <w:divBdr>
        <w:top w:val="none" w:sz="0" w:space="0" w:color="auto"/>
        <w:left w:val="none" w:sz="0" w:space="0" w:color="auto"/>
        <w:bottom w:val="none" w:sz="0" w:space="0" w:color="auto"/>
        <w:right w:val="none" w:sz="0" w:space="0" w:color="auto"/>
      </w:divBdr>
    </w:div>
    <w:div w:id="1791777225">
      <w:bodyDiv w:val="1"/>
      <w:marLeft w:val="0"/>
      <w:marRight w:val="0"/>
      <w:marTop w:val="0"/>
      <w:marBottom w:val="0"/>
      <w:divBdr>
        <w:top w:val="none" w:sz="0" w:space="0" w:color="auto"/>
        <w:left w:val="none" w:sz="0" w:space="0" w:color="auto"/>
        <w:bottom w:val="none" w:sz="0" w:space="0" w:color="auto"/>
        <w:right w:val="none" w:sz="0" w:space="0" w:color="auto"/>
      </w:divBdr>
    </w:div>
    <w:div w:id="1807502304">
      <w:bodyDiv w:val="1"/>
      <w:marLeft w:val="0"/>
      <w:marRight w:val="0"/>
      <w:marTop w:val="0"/>
      <w:marBottom w:val="0"/>
      <w:divBdr>
        <w:top w:val="none" w:sz="0" w:space="0" w:color="auto"/>
        <w:left w:val="none" w:sz="0" w:space="0" w:color="auto"/>
        <w:bottom w:val="none" w:sz="0" w:space="0" w:color="auto"/>
        <w:right w:val="none" w:sz="0" w:space="0" w:color="auto"/>
      </w:divBdr>
      <w:divsChild>
        <w:div w:id="355733418">
          <w:marLeft w:val="0"/>
          <w:marRight w:val="0"/>
          <w:marTop w:val="0"/>
          <w:marBottom w:val="0"/>
          <w:divBdr>
            <w:top w:val="none" w:sz="0" w:space="0" w:color="auto"/>
            <w:left w:val="none" w:sz="0" w:space="0" w:color="auto"/>
            <w:bottom w:val="none" w:sz="0" w:space="0" w:color="auto"/>
            <w:right w:val="none" w:sz="0" w:space="0" w:color="auto"/>
          </w:divBdr>
        </w:div>
      </w:divsChild>
    </w:div>
    <w:div w:id="1811284810">
      <w:bodyDiv w:val="1"/>
      <w:marLeft w:val="0"/>
      <w:marRight w:val="0"/>
      <w:marTop w:val="0"/>
      <w:marBottom w:val="0"/>
      <w:divBdr>
        <w:top w:val="none" w:sz="0" w:space="0" w:color="auto"/>
        <w:left w:val="none" w:sz="0" w:space="0" w:color="auto"/>
        <w:bottom w:val="none" w:sz="0" w:space="0" w:color="auto"/>
        <w:right w:val="none" w:sz="0" w:space="0" w:color="auto"/>
      </w:divBdr>
    </w:div>
    <w:div w:id="1827090821">
      <w:bodyDiv w:val="1"/>
      <w:marLeft w:val="0"/>
      <w:marRight w:val="0"/>
      <w:marTop w:val="0"/>
      <w:marBottom w:val="0"/>
      <w:divBdr>
        <w:top w:val="none" w:sz="0" w:space="0" w:color="auto"/>
        <w:left w:val="none" w:sz="0" w:space="0" w:color="auto"/>
        <w:bottom w:val="none" w:sz="0" w:space="0" w:color="auto"/>
        <w:right w:val="none" w:sz="0" w:space="0" w:color="auto"/>
      </w:divBdr>
    </w:div>
    <w:div w:id="1834682028">
      <w:bodyDiv w:val="1"/>
      <w:marLeft w:val="0"/>
      <w:marRight w:val="0"/>
      <w:marTop w:val="0"/>
      <w:marBottom w:val="0"/>
      <w:divBdr>
        <w:top w:val="none" w:sz="0" w:space="0" w:color="auto"/>
        <w:left w:val="none" w:sz="0" w:space="0" w:color="auto"/>
        <w:bottom w:val="none" w:sz="0" w:space="0" w:color="auto"/>
        <w:right w:val="none" w:sz="0" w:space="0" w:color="auto"/>
      </w:divBdr>
      <w:divsChild>
        <w:div w:id="1236011385">
          <w:marLeft w:val="0"/>
          <w:marRight w:val="0"/>
          <w:marTop w:val="0"/>
          <w:marBottom w:val="0"/>
          <w:divBdr>
            <w:top w:val="none" w:sz="0" w:space="0" w:color="auto"/>
            <w:left w:val="none" w:sz="0" w:space="0" w:color="auto"/>
            <w:bottom w:val="none" w:sz="0" w:space="0" w:color="auto"/>
            <w:right w:val="none" w:sz="0" w:space="0" w:color="auto"/>
          </w:divBdr>
        </w:div>
      </w:divsChild>
    </w:div>
    <w:div w:id="1847792608">
      <w:bodyDiv w:val="1"/>
      <w:marLeft w:val="0"/>
      <w:marRight w:val="0"/>
      <w:marTop w:val="0"/>
      <w:marBottom w:val="0"/>
      <w:divBdr>
        <w:top w:val="none" w:sz="0" w:space="0" w:color="auto"/>
        <w:left w:val="none" w:sz="0" w:space="0" w:color="auto"/>
        <w:bottom w:val="none" w:sz="0" w:space="0" w:color="auto"/>
        <w:right w:val="none" w:sz="0" w:space="0" w:color="auto"/>
      </w:divBdr>
    </w:div>
    <w:div w:id="1870332450">
      <w:bodyDiv w:val="1"/>
      <w:marLeft w:val="0"/>
      <w:marRight w:val="0"/>
      <w:marTop w:val="0"/>
      <w:marBottom w:val="0"/>
      <w:divBdr>
        <w:top w:val="none" w:sz="0" w:space="0" w:color="auto"/>
        <w:left w:val="none" w:sz="0" w:space="0" w:color="auto"/>
        <w:bottom w:val="none" w:sz="0" w:space="0" w:color="auto"/>
        <w:right w:val="none" w:sz="0" w:space="0" w:color="auto"/>
      </w:divBdr>
    </w:div>
    <w:div w:id="1872835479">
      <w:bodyDiv w:val="1"/>
      <w:marLeft w:val="0"/>
      <w:marRight w:val="0"/>
      <w:marTop w:val="0"/>
      <w:marBottom w:val="0"/>
      <w:divBdr>
        <w:top w:val="none" w:sz="0" w:space="0" w:color="auto"/>
        <w:left w:val="none" w:sz="0" w:space="0" w:color="auto"/>
        <w:bottom w:val="none" w:sz="0" w:space="0" w:color="auto"/>
        <w:right w:val="none" w:sz="0" w:space="0" w:color="auto"/>
      </w:divBdr>
      <w:divsChild>
        <w:div w:id="935479504">
          <w:marLeft w:val="0"/>
          <w:marRight w:val="0"/>
          <w:marTop w:val="0"/>
          <w:marBottom w:val="0"/>
          <w:divBdr>
            <w:top w:val="none" w:sz="0" w:space="0" w:color="auto"/>
            <w:left w:val="none" w:sz="0" w:space="0" w:color="auto"/>
            <w:bottom w:val="none" w:sz="0" w:space="0" w:color="auto"/>
            <w:right w:val="none" w:sz="0" w:space="0" w:color="auto"/>
          </w:divBdr>
        </w:div>
      </w:divsChild>
    </w:div>
    <w:div w:id="1876384551">
      <w:bodyDiv w:val="1"/>
      <w:marLeft w:val="0"/>
      <w:marRight w:val="0"/>
      <w:marTop w:val="0"/>
      <w:marBottom w:val="0"/>
      <w:divBdr>
        <w:top w:val="none" w:sz="0" w:space="0" w:color="auto"/>
        <w:left w:val="none" w:sz="0" w:space="0" w:color="auto"/>
        <w:bottom w:val="none" w:sz="0" w:space="0" w:color="auto"/>
        <w:right w:val="none" w:sz="0" w:space="0" w:color="auto"/>
      </w:divBdr>
    </w:div>
    <w:div w:id="1902865747">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47149126">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56981232">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286283">
      <w:bodyDiv w:val="1"/>
      <w:marLeft w:val="0"/>
      <w:marRight w:val="0"/>
      <w:marTop w:val="0"/>
      <w:marBottom w:val="0"/>
      <w:divBdr>
        <w:top w:val="none" w:sz="0" w:space="0" w:color="auto"/>
        <w:left w:val="none" w:sz="0" w:space="0" w:color="auto"/>
        <w:bottom w:val="none" w:sz="0" w:space="0" w:color="auto"/>
        <w:right w:val="none" w:sz="0" w:space="0" w:color="auto"/>
      </w:divBdr>
    </w:div>
    <w:div w:id="2009163744">
      <w:bodyDiv w:val="1"/>
      <w:marLeft w:val="0"/>
      <w:marRight w:val="0"/>
      <w:marTop w:val="0"/>
      <w:marBottom w:val="0"/>
      <w:divBdr>
        <w:top w:val="none" w:sz="0" w:space="0" w:color="auto"/>
        <w:left w:val="none" w:sz="0" w:space="0" w:color="auto"/>
        <w:bottom w:val="none" w:sz="0" w:space="0" w:color="auto"/>
        <w:right w:val="none" w:sz="0" w:space="0" w:color="auto"/>
      </w:divBdr>
      <w:divsChild>
        <w:div w:id="802576994">
          <w:marLeft w:val="0"/>
          <w:marRight w:val="0"/>
          <w:marTop w:val="0"/>
          <w:marBottom w:val="0"/>
          <w:divBdr>
            <w:top w:val="none" w:sz="0" w:space="0" w:color="auto"/>
            <w:left w:val="none" w:sz="0" w:space="0" w:color="auto"/>
            <w:bottom w:val="none" w:sz="0" w:space="0" w:color="auto"/>
            <w:right w:val="none" w:sz="0" w:space="0" w:color="auto"/>
          </w:divBdr>
        </w:div>
      </w:divsChild>
    </w:div>
    <w:div w:id="2052535852">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72802880">
      <w:bodyDiv w:val="1"/>
      <w:marLeft w:val="0"/>
      <w:marRight w:val="0"/>
      <w:marTop w:val="0"/>
      <w:marBottom w:val="0"/>
      <w:divBdr>
        <w:top w:val="none" w:sz="0" w:space="0" w:color="auto"/>
        <w:left w:val="none" w:sz="0" w:space="0" w:color="auto"/>
        <w:bottom w:val="none" w:sz="0" w:space="0" w:color="auto"/>
        <w:right w:val="none" w:sz="0" w:space="0" w:color="auto"/>
      </w:divBdr>
      <w:divsChild>
        <w:div w:id="313875742">
          <w:marLeft w:val="0"/>
          <w:marRight w:val="0"/>
          <w:marTop w:val="0"/>
          <w:marBottom w:val="0"/>
          <w:divBdr>
            <w:top w:val="none" w:sz="0" w:space="0" w:color="auto"/>
            <w:left w:val="none" w:sz="0" w:space="0" w:color="auto"/>
            <w:bottom w:val="none" w:sz="0" w:space="0" w:color="auto"/>
            <w:right w:val="none" w:sz="0" w:space="0" w:color="auto"/>
          </w:divBdr>
        </w:div>
      </w:divsChild>
    </w:div>
    <w:div w:id="2081051019">
      <w:bodyDiv w:val="1"/>
      <w:marLeft w:val="0"/>
      <w:marRight w:val="0"/>
      <w:marTop w:val="0"/>
      <w:marBottom w:val="0"/>
      <w:divBdr>
        <w:top w:val="none" w:sz="0" w:space="0" w:color="auto"/>
        <w:left w:val="none" w:sz="0" w:space="0" w:color="auto"/>
        <w:bottom w:val="none" w:sz="0" w:space="0" w:color="auto"/>
        <w:right w:val="none" w:sz="0" w:space="0" w:color="auto"/>
      </w:divBdr>
    </w:div>
    <w:div w:id="2083064973">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099668676">
      <w:bodyDiv w:val="1"/>
      <w:marLeft w:val="0"/>
      <w:marRight w:val="0"/>
      <w:marTop w:val="0"/>
      <w:marBottom w:val="0"/>
      <w:divBdr>
        <w:top w:val="none" w:sz="0" w:space="0" w:color="auto"/>
        <w:left w:val="none" w:sz="0" w:space="0" w:color="auto"/>
        <w:bottom w:val="none" w:sz="0" w:space="0" w:color="auto"/>
        <w:right w:val="none" w:sz="0" w:space="0" w:color="auto"/>
      </w:divBdr>
    </w:div>
    <w:div w:id="2102945621">
      <w:bodyDiv w:val="1"/>
      <w:marLeft w:val="0"/>
      <w:marRight w:val="0"/>
      <w:marTop w:val="0"/>
      <w:marBottom w:val="0"/>
      <w:divBdr>
        <w:top w:val="none" w:sz="0" w:space="0" w:color="auto"/>
        <w:left w:val="none" w:sz="0" w:space="0" w:color="auto"/>
        <w:bottom w:val="none" w:sz="0" w:space="0" w:color="auto"/>
        <w:right w:val="none" w:sz="0" w:space="0" w:color="auto"/>
      </w:divBdr>
    </w:div>
    <w:div w:id="2139107543">
      <w:bodyDiv w:val="1"/>
      <w:marLeft w:val="0"/>
      <w:marRight w:val="0"/>
      <w:marTop w:val="0"/>
      <w:marBottom w:val="0"/>
      <w:divBdr>
        <w:top w:val="none" w:sz="0" w:space="0" w:color="auto"/>
        <w:left w:val="none" w:sz="0" w:space="0" w:color="auto"/>
        <w:bottom w:val="none" w:sz="0" w:space="0" w:color="auto"/>
        <w:right w:val="none" w:sz="0" w:space="0" w:color="auto"/>
      </w:divBdr>
      <w:divsChild>
        <w:div w:id="1062371327">
          <w:marLeft w:val="0"/>
          <w:marRight w:val="0"/>
          <w:marTop w:val="0"/>
          <w:marBottom w:val="0"/>
          <w:divBdr>
            <w:top w:val="none" w:sz="0" w:space="0" w:color="auto"/>
            <w:left w:val="none" w:sz="0" w:space="0" w:color="auto"/>
            <w:bottom w:val="none" w:sz="0" w:space="0" w:color="auto"/>
            <w:right w:val="none" w:sz="0" w:space="0" w:color="auto"/>
          </w:divBdr>
        </w:div>
      </w:divsChild>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bd97919-57c3-48d3-9e9a-8e4c01614a8f}" enabled="0" method="" siteId="{3bd97919-57c3-48d3-9e9a-8e4c01614a8f}" removed="1"/>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2026-01-29T19:46:00Z</dcterms:created>
  <dcterms:modified xsi:type="dcterms:W3CDTF">2026-01-29T19:46:00Z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